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auto"/>
                <w:sz w:val="36"/>
                <w:szCs w:val="36"/>
                <w:u w:val="none"/>
              </w:rPr>
            </w:pPr>
            <w:r>
              <w:rPr>
                <w:rFonts w:hint="eastAsia" w:ascii="方正小标宋简体" w:hAnsi="方正小标宋简体" w:eastAsia="方正小标宋简体" w:cs="方正小标宋简体"/>
                <w:i w:val="0"/>
                <w:iCs w:val="0"/>
                <w:color w:val="auto"/>
                <w:kern w:val="0"/>
                <w:sz w:val="36"/>
                <w:szCs w:val="36"/>
                <w:u w:val="none"/>
                <w:lang w:val="en-US" w:eastAsia="zh-CN" w:bidi="ar"/>
              </w:rPr>
              <w:t>司法局机关2021年度部门预算公开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tcBorders>
              <w:top w:val="nil"/>
              <w:left w:val="nil"/>
              <w:bottom w:val="nil"/>
              <w:right w:val="nil"/>
            </w:tcBorders>
            <w:shd w:val="clear" w:color="auto" w:fill="auto"/>
            <w:vAlign w:val="center"/>
          </w:tcPr>
          <w:p>
            <w:pPr>
              <w:jc w:val="center"/>
              <w:rPr>
                <w:rFonts w:hint="eastAsia" w:ascii="方正小标宋简体" w:hAnsi="方正小标宋简体" w:eastAsia="方正小标宋简体" w:cs="方正小标宋简体"/>
                <w:i w:val="0"/>
                <w:iCs w:val="0"/>
                <w:color w:val="auto"/>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auto"/>
                <w:sz w:val="36"/>
                <w:szCs w:val="36"/>
                <w:u w:val="none"/>
              </w:rPr>
            </w:pPr>
            <w:r>
              <w:rPr>
                <w:rFonts w:hint="eastAsia" w:ascii="方正小标宋简体" w:hAnsi="方正小标宋简体" w:eastAsia="方正小标宋简体" w:cs="方正小标宋简体"/>
                <w:i w:val="0"/>
                <w:iCs w:val="0"/>
                <w:color w:val="auto"/>
                <w:kern w:val="0"/>
                <w:sz w:val="36"/>
                <w:szCs w:val="36"/>
                <w:u w:val="none"/>
                <w:lang w:val="en-US" w:eastAsia="zh-CN" w:bidi="ar"/>
              </w:rPr>
              <w:t>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0" w:hRule="atLeast"/>
        </w:trPr>
        <w:tc>
          <w:tcPr>
            <w:tcW w:w="5000" w:type="pct"/>
            <w:tcBorders>
              <w:top w:val="nil"/>
              <w:left w:val="nil"/>
              <w:bottom w:val="nil"/>
              <w:right w:val="nil"/>
            </w:tcBorders>
            <w:shd w:val="clear" w:color="auto" w:fill="auto"/>
            <w:vAlign w:val="center"/>
          </w:tcPr>
          <w:p>
            <w:pPr>
              <w:keepNext w:val="0"/>
              <w:keepLines w:val="0"/>
              <w:widowControl/>
              <w:numPr>
                <w:ilvl w:val="0"/>
                <w:numId w:val="1"/>
              </w:numPr>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 xml:space="preserve"> 2021年部门预算说明</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第二部分  部门预算公开表格</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一、收支总表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二、收入总表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三、支出总表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四、支出预算分类汇总表（按政府预算经济分类）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五、支出预算分类汇总表（按部门预算经济分类）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六、财政拨款收支总表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七、一般公共预算支出表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八、一般公共预算基本支出表--人员经费(工资福利支出)(按政府预算经济分类)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九、一般公共预算基本支出表--人员经费(工资福利支出)(按部门预算经济分类)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十、一般公共预算基本支出表--人员经费(对个人和家庭的补助)(按政府预算经济分类)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十一、一般公共预算基本支出表--人员经费(对个人和家庭的补助)（按部门预算经济分类）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十二、一般公共预算基本支出表--公用经费(商品和服务支出)（按政府预算经济分类）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十三、一般公共预算基本支出表--公用经费(商品和服务支出)(按部门预算经济分类)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十四、一般公共预算“三公”经费支出表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十五、政府性基金预算支出表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十六、政府性基金预算支出分类汇总表（按政府预算经济分类）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十七、政府性基金预算支出分类汇总表（按部门预算经济分类）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十八、国有资产经营预算支出表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十九、纳入专户管理的非税收入拨款支出预算表(按政府预算经济分类)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二十、纳入专户管理的非税收入拨款支出预算表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二十一、支出预算项目明细表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二十二、财政支出项目预算绩效目标申报表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二十三、部门(单位)整体支出预算绩效目标申报表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cs="仿宋_GB2312"/>
                <w:i w:val="0"/>
                <w:iCs w:val="0"/>
                <w:color w:val="auto"/>
                <w:kern w:val="0"/>
                <w:sz w:val="28"/>
                <w:szCs w:val="28"/>
                <w:u w:val="none"/>
                <w:lang w:val="en-US" w:eastAsia="zh-CN" w:bidi="ar"/>
              </w:rPr>
              <w:t>二十四、一般公共预算基本支出总表</w:t>
            </w:r>
          </w:p>
          <w:p>
            <w:pPr>
              <w:keepNext w:val="0"/>
              <w:keepLines w:val="0"/>
              <w:widowControl/>
              <w:numPr>
                <w:numId w:val="0"/>
              </w:numPr>
              <w:suppressLineNumbers w:val="0"/>
              <w:jc w:val="left"/>
              <w:textAlignment w:val="center"/>
              <w:rPr>
                <w:rFonts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注：以上部门预算公开报表中，空表表示本部门（单位）无相关收支情况。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auto"/>
                <w:sz w:val="36"/>
                <w:szCs w:val="36"/>
                <w:u w:val="none"/>
              </w:rPr>
            </w:pPr>
            <w:r>
              <w:rPr>
                <w:rFonts w:hint="eastAsia" w:ascii="黑体" w:hAnsi="宋体" w:eastAsia="黑体" w:cs="黑体"/>
                <w:i w:val="0"/>
                <w:iCs w:val="0"/>
                <w:color w:val="auto"/>
                <w:kern w:val="0"/>
                <w:sz w:val="36"/>
                <w:szCs w:val="36"/>
                <w:u w:val="none"/>
                <w:lang w:val="en-US" w:eastAsia="zh-CN" w:bidi="ar"/>
              </w:rPr>
              <w:t>第一部分    2021年部门预算说明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 xml:space="preserve">    一、部门基本概况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（一）职能职责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ind w:firstLine="0" w:firstLineChars="0"/>
              <w:rPr>
                <w:rFonts w:hint="eastAsia" w:ascii="仿宋_GB2312" w:hAnsi="仿宋_GB2312" w:eastAsia="仿宋_GB2312" w:cs="仿宋_GB2312"/>
                <w:color w:val="auto"/>
                <w:sz w:val="28"/>
                <w:szCs w:val="28"/>
              </w:rPr>
            </w:pPr>
            <w:r>
              <w:rPr>
                <w:rFonts w:hint="eastAsia" w:ascii="仿宋_GB2312" w:hAnsi="宋体" w:eastAsia="仿宋_GB2312" w:cs="仿宋_GB2312"/>
                <w:i w:val="0"/>
                <w:iCs w:val="0"/>
                <w:color w:val="auto"/>
                <w:kern w:val="0"/>
                <w:sz w:val="28"/>
                <w:szCs w:val="28"/>
                <w:u w:val="none"/>
                <w:lang w:val="en-US" w:eastAsia="zh-CN" w:bidi="ar"/>
              </w:rPr>
              <w:t xml:space="preserve">    </w:t>
            </w:r>
            <w:r>
              <w:rPr>
                <w:rFonts w:hint="eastAsia" w:ascii="仿宋_GB2312" w:hAnsi="仿宋_GB2312" w:eastAsia="仿宋_GB2312" w:cs="仿宋_GB2312"/>
                <w:color w:val="auto"/>
                <w:sz w:val="28"/>
                <w:szCs w:val="28"/>
              </w:rPr>
              <w:t>市司法局贯彻落实党中央关于全面依法治国工作的方针政策和决策部署，全面落实市委关于全面依法治市工作的部署要求，在履行职责过程中坚持和加强党对全面依法治市的集中统一领导。主要职责是：</w:t>
            </w:r>
          </w:p>
          <w:p>
            <w:pPr>
              <w:ind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1、承担全面依法治市重大问题的政策研究</w:t>
            </w:r>
            <w:r>
              <w:rPr>
                <w:rFonts w:hint="eastAsia" w:ascii="仿宋_GB2312" w:hAnsi="仿宋_GB2312" w:cs="仿宋_GB2312"/>
                <w:color w:val="auto"/>
                <w:sz w:val="28"/>
                <w:szCs w:val="28"/>
                <w:lang w:eastAsia="zh-CN"/>
              </w:rPr>
              <w:t>；</w:t>
            </w:r>
          </w:p>
          <w:p>
            <w:pPr>
              <w:ind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2、承担统筹规划立法工作</w:t>
            </w:r>
            <w:r>
              <w:rPr>
                <w:rFonts w:hint="eastAsia" w:ascii="仿宋_GB2312" w:hAnsi="仿宋_GB2312" w:cs="仿宋_GB2312"/>
                <w:color w:val="auto"/>
                <w:sz w:val="28"/>
                <w:szCs w:val="28"/>
                <w:lang w:eastAsia="zh-CN"/>
              </w:rPr>
              <w:t>；</w:t>
            </w:r>
          </w:p>
          <w:p>
            <w:pPr>
              <w:ind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3、负责起草或者组织起草有关地方性法规、规章草案</w:t>
            </w:r>
            <w:r>
              <w:rPr>
                <w:rFonts w:hint="eastAsia" w:ascii="仿宋_GB2312" w:hAnsi="仿宋_GB2312" w:cs="仿宋_GB2312"/>
                <w:color w:val="auto"/>
                <w:sz w:val="28"/>
                <w:szCs w:val="28"/>
                <w:lang w:eastAsia="zh-CN"/>
              </w:rPr>
              <w:t>；</w:t>
            </w:r>
          </w:p>
          <w:p>
            <w:pPr>
              <w:ind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4、承办市政府规章的解释、立法后评估工作</w:t>
            </w:r>
            <w:r>
              <w:rPr>
                <w:rFonts w:hint="eastAsia" w:ascii="仿宋_GB2312" w:hAnsi="仿宋_GB2312" w:cs="仿宋_GB2312"/>
                <w:color w:val="auto"/>
                <w:sz w:val="28"/>
                <w:szCs w:val="28"/>
                <w:lang w:eastAsia="zh-CN"/>
              </w:rPr>
              <w:t>；</w:t>
            </w:r>
          </w:p>
          <w:p>
            <w:pPr>
              <w:ind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5、指导全市规范性文件管理有关工作，承担市政府规范性文件送审稿的合法性审查工作</w:t>
            </w:r>
            <w:r>
              <w:rPr>
                <w:rFonts w:hint="eastAsia" w:ascii="仿宋_GB2312" w:hAnsi="仿宋_GB2312" w:cs="仿宋_GB2312"/>
                <w:color w:val="auto"/>
                <w:sz w:val="28"/>
                <w:szCs w:val="28"/>
                <w:lang w:eastAsia="zh-CN"/>
              </w:rPr>
              <w:t>；</w:t>
            </w:r>
          </w:p>
          <w:p>
            <w:pPr>
              <w:ind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6、承担统筹推进法治政府建设工作</w:t>
            </w:r>
            <w:r>
              <w:rPr>
                <w:rFonts w:hint="eastAsia" w:ascii="仿宋_GB2312" w:hAnsi="仿宋_GB2312" w:cs="仿宋_GB2312"/>
                <w:color w:val="auto"/>
                <w:sz w:val="28"/>
                <w:szCs w:val="28"/>
                <w:lang w:eastAsia="zh-CN"/>
              </w:rPr>
              <w:t>；</w:t>
            </w:r>
          </w:p>
          <w:p>
            <w:pPr>
              <w:ind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7、负责对政府合同订立工作进行监督和指导</w:t>
            </w:r>
            <w:r>
              <w:rPr>
                <w:rFonts w:hint="eastAsia" w:ascii="仿宋_GB2312" w:hAnsi="仿宋_GB2312" w:cs="仿宋_GB2312"/>
                <w:color w:val="auto"/>
                <w:sz w:val="28"/>
                <w:szCs w:val="28"/>
                <w:lang w:eastAsia="zh-CN"/>
              </w:rPr>
              <w:t>；</w:t>
            </w:r>
          </w:p>
          <w:p>
            <w:pPr>
              <w:ind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8、承担统筹规划全市法治社会建设工作</w:t>
            </w:r>
            <w:r>
              <w:rPr>
                <w:rFonts w:hint="eastAsia" w:ascii="仿宋_GB2312" w:hAnsi="仿宋_GB2312" w:cs="仿宋_GB2312"/>
                <w:color w:val="auto"/>
                <w:sz w:val="28"/>
                <w:szCs w:val="28"/>
                <w:lang w:eastAsia="zh-CN"/>
              </w:rPr>
              <w:t>；</w:t>
            </w:r>
          </w:p>
          <w:p>
            <w:pPr>
              <w:ind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9、指导、管理社区矫正工作</w:t>
            </w:r>
            <w:r>
              <w:rPr>
                <w:rFonts w:hint="eastAsia" w:ascii="仿宋_GB2312" w:hAnsi="仿宋_GB2312" w:cs="仿宋_GB2312"/>
                <w:color w:val="auto"/>
                <w:sz w:val="28"/>
                <w:szCs w:val="28"/>
                <w:lang w:eastAsia="zh-CN"/>
              </w:rPr>
              <w:t>；</w:t>
            </w:r>
          </w:p>
          <w:p>
            <w:pPr>
              <w:ind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10、指导、监督本系统强制隔离戒毒执行和戒毒康复工作</w:t>
            </w:r>
            <w:r>
              <w:rPr>
                <w:rFonts w:hint="eastAsia" w:ascii="仿宋_GB2312" w:hAnsi="仿宋_GB2312" w:cs="仿宋_GB2312"/>
                <w:color w:val="auto"/>
                <w:sz w:val="28"/>
                <w:szCs w:val="28"/>
                <w:lang w:eastAsia="zh-CN"/>
              </w:rPr>
              <w:t>；</w:t>
            </w:r>
          </w:p>
          <w:p>
            <w:pPr>
              <w:ind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11、拟订公共法律服务体系建设规划并指导实施</w:t>
            </w:r>
            <w:r>
              <w:rPr>
                <w:rFonts w:hint="eastAsia" w:ascii="仿宋_GB2312" w:hAnsi="仿宋_GB2312" w:cs="仿宋_GB2312"/>
                <w:color w:val="auto"/>
                <w:sz w:val="28"/>
                <w:szCs w:val="28"/>
                <w:lang w:eastAsia="zh-CN"/>
              </w:rPr>
              <w:t>；</w:t>
            </w:r>
          </w:p>
          <w:p>
            <w:pPr>
              <w:ind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12、组织全市国家统一法律职业资格考试</w:t>
            </w:r>
            <w:r>
              <w:rPr>
                <w:rFonts w:hint="eastAsia" w:ascii="仿宋_GB2312" w:hAnsi="仿宋_GB2312" w:cs="仿宋_GB2312"/>
                <w:color w:val="auto"/>
                <w:sz w:val="28"/>
                <w:szCs w:val="28"/>
                <w:lang w:eastAsia="zh-CN"/>
              </w:rPr>
              <w:t>；</w:t>
            </w:r>
          </w:p>
          <w:p>
            <w:pPr>
              <w:ind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13、负责全市法治对外合作工作</w:t>
            </w:r>
            <w:r>
              <w:rPr>
                <w:rFonts w:hint="eastAsia" w:ascii="仿宋_GB2312" w:hAnsi="仿宋_GB2312" w:cs="仿宋_GB2312"/>
                <w:color w:val="auto"/>
                <w:sz w:val="28"/>
                <w:szCs w:val="28"/>
                <w:lang w:eastAsia="zh-CN"/>
              </w:rPr>
              <w:t>；</w:t>
            </w:r>
          </w:p>
          <w:p>
            <w:pPr>
              <w:ind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14、负责本系统枪支、弹药、服装和警车管理工作</w:t>
            </w:r>
            <w:r>
              <w:rPr>
                <w:rFonts w:hint="eastAsia" w:ascii="仿宋_GB2312" w:hAnsi="仿宋_GB2312" w:cs="仿宋_GB2312"/>
                <w:color w:val="auto"/>
                <w:sz w:val="28"/>
                <w:szCs w:val="28"/>
                <w:lang w:eastAsia="zh-CN"/>
              </w:rPr>
              <w:t>；</w:t>
            </w:r>
          </w:p>
          <w:p>
            <w:pPr>
              <w:ind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15、规划、协调、指导法治人才队伍建设相关工作</w:t>
            </w:r>
            <w:r>
              <w:rPr>
                <w:rFonts w:hint="eastAsia" w:ascii="仿宋_GB2312" w:hAnsi="仿宋_GB2312" w:cs="仿宋_GB2312"/>
                <w:color w:val="auto"/>
                <w:sz w:val="28"/>
                <w:szCs w:val="28"/>
                <w:lang w:eastAsia="zh-CN"/>
              </w:rPr>
              <w:t>；</w:t>
            </w:r>
          </w:p>
          <w:p>
            <w:pPr>
              <w:ind w:firstLine="0" w:firstLineChars="0"/>
              <w:rPr>
                <w:rFonts w:hint="eastAsia" w:ascii="仿宋_GB2312" w:hAnsi="宋体" w:eastAsia="仿宋_GB2312" w:cs="仿宋_GB2312"/>
                <w:i w:val="0"/>
                <w:iCs w:val="0"/>
                <w:color w:val="auto"/>
                <w:sz w:val="28"/>
                <w:szCs w:val="28"/>
                <w:u w:val="none"/>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16、完成市委、市政府交办的其他事项</w:t>
            </w:r>
            <w:r>
              <w:rPr>
                <w:rFonts w:hint="eastAsia" w:ascii="仿宋_GB2312" w:hAnsi="仿宋_GB2312" w:cs="仿宋_GB2312"/>
                <w:color w:val="auto"/>
                <w:sz w:val="28"/>
                <w:szCs w:val="2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（二）机构设置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w:t>
            </w:r>
            <w:r>
              <w:rPr>
                <w:rFonts w:hint="eastAsia" w:ascii="仿宋_GB2312" w:hAnsi="仿宋_GB2312" w:eastAsia="仿宋_GB2312" w:cs="仿宋_GB2312"/>
                <w:color w:val="auto"/>
                <w:sz w:val="28"/>
                <w:szCs w:val="28"/>
              </w:rPr>
              <w:t>根据编委核定，我局内设17 个科室，所属二级机构 2个，内设科室分别是：办公室、法治调研与督察科、立法科、规范性文件管理科、政府合同管理科、行政复议科、行政应诉科、行政执法协调监督科、人民参与和促进法治科、社区矫正管理科、戒毒管理科、公共法律服务管理科、律师工作科、装备财务保障科、政治部、机关党委、离退休人员管理服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 xml:space="preserve">    二、部门预算单位构成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所属单位包括</w:t>
            </w:r>
            <w:r>
              <w:rPr>
                <w:rFonts w:hint="eastAsia" w:ascii="仿宋_GB2312" w:hAnsi="仿宋_GB2312" w:eastAsia="仿宋_GB2312" w:cs="仿宋_GB2312"/>
                <w:color w:val="auto"/>
                <w:sz w:val="28"/>
                <w:szCs w:val="28"/>
              </w:rPr>
              <w:t>岳阳市强制隔离戒毒所、岳阳市法律援助中心。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2"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本部门所属二级预算单位均由财政独立批复预算，并已单独公开预算，因此，纳入2021年部门预算公开范围的为本部门（单位）自己。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 xml:space="preserve">    三、部门（单位）收支总体情况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2021年部门预算包括本级预算和所含预算单位在内的汇总情况。收入包括经费拨款，也包括行政事业性收费收入和国有资源有偿使用收入；支出包括保障单位基本运行的经费，也包括项目经费。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（一）收入预算</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 xml:space="preserve">    包括一般公共预算、政府性基金、国有资本经营预算等财政拨款收入，以及经营收入、事业收入等单位资金。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2"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2021年</w:t>
            </w:r>
            <w:r>
              <w:rPr>
                <w:rFonts w:hint="eastAsia" w:ascii="仿宋_GB2312" w:hAnsi="宋体" w:cs="仿宋_GB2312"/>
                <w:i w:val="0"/>
                <w:iCs w:val="0"/>
                <w:color w:val="auto"/>
                <w:kern w:val="0"/>
                <w:sz w:val="28"/>
                <w:szCs w:val="28"/>
                <w:u w:val="none"/>
                <w:lang w:val="en-US" w:eastAsia="zh-CN" w:bidi="ar"/>
              </w:rPr>
              <w:t>本部门（单位）</w:t>
            </w:r>
            <w:r>
              <w:rPr>
                <w:rFonts w:hint="eastAsia" w:ascii="仿宋_GB2312" w:hAnsi="宋体" w:eastAsia="仿宋_GB2312" w:cs="仿宋_GB2312"/>
                <w:i w:val="0"/>
                <w:iCs w:val="0"/>
                <w:color w:val="auto"/>
                <w:kern w:val="0"/>
                <w:sz w:val="28"/>
                <w:szCs w:val="28"/>
                <w:u w:val="none"/>
                <w:lang w:val="en-US" w:eastAsia="zh-CN" w:bidi="ar"/>
              </w:rPr>
              <w:t>收入预算1,528.56万元，其中，一般公共预算拨款1,528.56万元，政府性基金预算拨款0.00万元（所以公开的附件15-17为空表），国有资本经营预算拨款0.00万元（所以公开的附件18为空表），财政专户管理资金0.00万元（所以公开的附件19-20为空表），上级补助收入0.00万元，事业单位经营收入0.00万元，其他收入0.00万元，上年结转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kern w:val="0"/>
                <w:sz w:val="28"/>
                <w:szCs w:val="28"/>
                <w:u w:val="none"/>
                <w:lang w:val="en-US" w:eastAsia="zh-CN" w:bidi="ar"/>
              </w:rPr>
              <w:t xml:space="preserve">    收入较去年增加60.16万元，增幅4.1%，原因是</w:t>
            </w:r>
            <w:r>
              <w:rPr>
                <w:rFonts w:hint="eastAsia" w:ascii="仿宋_GB2312" w:hAnsi="仿宋_GB2312" w:eastAsia="仿宋_GB2312" w:cs="仿宋_GB2312"/>
                <w:color w:val="auto"/>
                <w:sz w:val="28"/>
                <w:szCs w:val="28"/>
              </w:rPr>
              <w:t>部门仲裁委增加3人</w:t>
            </w:r>
            <w:r>
              <w:rPr>
                <w:rFonts w:hint="eastAsia" w:ascii="仿宋_GB2312" w:hAnsi="仿宋_GB2312" w:cs="仿宋_GB2312"/>
                <w:color w:val="auto"/>
                <w:sz w:val="28"/>
                <w:szCs w:val="2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（二）支出预算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2021年</w:t>
            </w:r>
            <w:r>
              <w:rPr>
                <w:rFonts w:hint="eastAsia" w:ascii="仿宋_GB2312" w:hAnsi="宋体" w:cs="仿宋_GB2312"/>
                <w:i w:val="0"/>
                <w:iCs w:val="0"/>
                <w:color w:val="auto"/>
                <w:kern w:val="0"/>
                <w:sz w:val="28"/>
                <w:szCs w:val="28"/>
                <w:u w:val="none"/>
                <w:lang w:val="en-US" w:eastAsia="zh-CN" w:bidi="ar"/>
              </w:rPr>
              <w:t>本部门（单位）</w:t>
            </w:r>
            <w:r>
              <w:rPr>
                <w:rFonts w:hint="eastAsia" w:ascii="仿宋_GB2312" w:hAnsi="宋体" w:eastAsia="仿宋_GB2312" w:cs="仿宋_GB2312"/>
                <w:i w:val="0"/>
                <w:iCs w:val="0"/>
                <w:color w:val="auto"/>
                <w:kern w:val="0"/>
                <w:sz w:val="28"/>
                <w:szCs w:val="28"/>
                <w:u w:val="none"/>
                <w:lang w:val="en-US" w:eastAsia="zh-CN" w:bidi="ar"/>
              </w:rPr>
              <w:t>支出预算1,528.56万元，其中，公共安全支出1,253.61万元，社会保障和就业支出129.74万元，卫生健康支出70.69万元，住房保障支出74.52万元。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支出较去年增加60.16万元，其中基本支出较去年增加21.69万元，原因是</w:t>
            </w:r>
            <w:r>
              <w:rPr>
                <w:rFonts w:hint="eastAsia" w:ascii="仿宋_GB2312" w:hAnsi="仿宋_GB2312" w:eastAsia="仿宋_GB2312" w:cs="仿宋_GB2312"/>
                <w:color w:val="auto"/>
                <w:sz w:val="28"/>
                <w:szCs w:val="28"/>
              </w:rPr>
              <w:t>部门仲裁委增加3人</w:t>
            </w:r>
            <w:r>
              <w:rPr>
                <w:rFonts w:hint="eastAsia" w:ascii="仿宋_GB2312" w:hAnsi="宋体" w:eastAsia="仿宋_GB2312" w:cs="仿宋_GB2312"/>
                <w:i w:val="0"/>
                <w:iCs w:val="0"/>
                <w:color w:val="auto"/>
                <w:kern w:val="0"/>
                <w:sz w:val="28"/>
                <w:szCs w:val="28"/>
                <w:u w:val="none"/>
                <w:lang w:val="en-US" w:eastAsia="zh-CN" w:bidi="ar"/>
              </w:rPr>
              <w:t>；项目支出较去年增加38.47万元，原因是</w:t>
            </w:r>
            <w:r>
              <w:rPr>
                <w:rFonts w:hint="eastAsia" w:ascii="仿宋_GB2312" w:hAnsi="仿宋_GB2312" w:eastAsia="仿宋_GB2312" w:cs="仿宋_GB2312"/>
                <w:color w:val="auto"/>
                <w:sz w:val="28"/>
                <w:szCs w:val="28"/>
              </w:rPr>
              <w:t>公共安全支出</w:t>
            </w:r>
            <w:r>
              <w:rPr>
                <w:rFonts w:hint="eastAsia" w:ascii="仿宋_GB2312" w:hAnsi="仿宋_GB2312" w:cs="仿宋_GB2312"/>
                <w:color w:val="auto"/>
                <w:sz w:val="28"/>
                <w:szCs w:val="28"/>
                <w:lang w:val="en-US" w:eastAsia="zh-CN"/>
              </w:rPr>
              <w:t>相关项目支出增加</w:t>
            </w:r>
            <w:r>
              <w:rPr>
                <w:rFonts w:hint="eastAsia" w:ascii="仿宋_GB2312" w:hAnsi="宋体" w:eastAsia="仿宋_GB2312" w:cs="仿宋_GB2312"/>
                <w:i w:val="0"/>
                <w:iCs w:val="0"/>
                <w:color w:val="auto"/>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 xml:space="preserve">    四、一般公共预算拨款支出预算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2021年一般公共预算拨款支出预算1,528.56万元，其中，公共安全支出1,253.61万元，占82.0%，社会保障和就业支出129.74万元，占8.5%，卫生健康支出70.69万元，占4.6%，住房保障支出74.52万元，占4.9%。具体安排情况如下：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一）基本支出：2021年基本支出年初预算数为1,064.54万元，是指为保障单位机构正常运转、完成日常工作任务而发生的各项支出，包括用于基本工资、津贴补贴等人员经费以及办公费、印刷费、水电费、差旅费等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（二）项目支出：2021年项目支出年初预算数为464.02万元，是指单位为完成特定行政工作任务或事业发展目标而发生的支出，包括有关业务工作经费、运行维护经费等。其中包括依法治市专项经费 25万元，主要用于普法、依法治理工作等方面；法律职业资格考试10万元，主要用于组织法律职业资格考试；社区矫治经费 2.5万元，主要用于社区矫治业务培训等方面；安置帮教经费2.5万元，主要用于安置帮教基地的有关费用；人民警察加班、值勤岗位津贴24.48万元，主要用于发放加班、执勤岗位津贴；中央转移支付办案费115万元，主要用于司法办案业务开支；法律顾问专项经费30万元，主要用于提供法律顾问服务等开支；法制办行政应诉办案经费9万元，主要用于行政应诉办案经费开支；立法经费10万元，主要用于立法工作开支；行政复议专项经费15.8万元，主要用于行政复议工作开支；其他司法业务经费32.74万元，主要用于司法业务的零星开支；非税收入征收成本187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 xml:space="preserve">    五、政府性基金预算支出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2021年度</w:t>
            </w:r>
            <w:r>
              <w:rPr>
                <w:rFonts w:hint="eastAsia" w:ascii="仿宋_GB2312" w:hAnsi="宋体" w:cs="仿宋_GB2312"/>
                <w:i w:val="0"/>
                <w:iCs w:val="0"/>
                <w:color w:val="auto"/>
                <w:kern w:val="0"/>
                <w:sz w:val="28"/>
                <w:szCs w:val="28"/>
                <w:u w:val="none"/>
                <w:lang w:val="en-US" w:eastAsia="zh-CN" w:bidi="ar"/>
              </w:rPr>
              <w:t>本部门（单位）</w:t>
            </w:r>
            <w:r>
              <w:rPr>
                <w:rFonts w:hint="eastAsia" w:ascii="仿宋_GB2312" w:hAnsi="宋体" w:eastAsia="仿宋_GB2312" w:cs="仿宋_GB2312"/>
                <w:i w:val="0"/>
                <w:iCs w:val="0"/>
                <w:color w:val="auto"/>
                <w:kern w:val="0"/>
                <w:sz w:val="28"/>
                <w:szCs w:val="28"/>
                <w:u w:val="none"/>
                <w:lang w:val="en-US" w:eastAsia="zh-CN" w:bidi="ar"/>
              </w:rPr>
              <w:t>无政府性基金安排的支出，所以公开的附件15-17为空。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 xml:space="preserve">    六、其他重要事项的情况说明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楷体_GB2312" w:hAnsi="宋体" w:eastAsia="楷体_GB2312" w:cs="楷体_GB2312"/>
                <w:b/>
                <w:bCs/>
                <w:i w:val="0"/>
                <w:iCs w:val="0"/>
                <w:color w:val="auto"/>
                <w:sz w:val="28"/>
                <w:szCs w:val="28"/>
                <w:u w:val="none"/>
              </w:rPr>
            </w:pPr>
            <w:r>
              <w:rPr>
                <w:rFonts w:hint="eastAsia" w:ascii="楷体_GB2312" w:hAnsi="宋体" w:eastAsia="楷体_GB2312" w:cs="楷体_GB2312"/>
                <w:b/>
                <w:bCs/>
                <w:i w:val="0"/>
                <w:iCs w:val="0"/>
                <w:color w:val="auto"/>
                <w:kern w:val="0"/>
                <w:sz w:val="28"/>
                <w:szCs w:val="28"/>
                <w:u w:val="none"/>
                <w:lang w:val="en-US" w:eastAsia="zh-CN" w:bidi="ar"/>
              </w:rPr>
              <w:t xml:space="preserve">    （一）机关运行经费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w:t>
            </w:r>
            <w:r>
              <w:rPr>
                <w:rFonts w:hint="eastAsia" w:ascii="仿宋_GB2312" w:hAnsi="宋体" w:cs="仿宋_GB2312"/>
                <w:i w:val="0"/>
                <w:iCs w:val="0"/>
                <w:color w:val="auto"/>
                <w:kern w:val="0"/>
                <w:sz w:val="28"/>
                <w:szCs w:val="28"/>
                <w:u w:val="none"/>
                <w:lang w:val="en-US" w:eastAsia="zh-CN" w:bidi="ar"/>
              </w:rPr>
              <w:t>本部门（单位）</w:t>
            </w:r>
            <w:r>
              <w:rPr>
                <w:rFonts w:hint="eastAsia" w:ascii="仿宋_GB2312" w:hAnsi="宋体" w:eastAsia="仿宋_GB2312" w:cs="仿宋_GB2312"/>
                <w:i w:val="0"/>
                <w:iCs w:val="0"/>
                <w:color w:val="auto"/>
                <w:kern w:val="0"/>
                <w:sz w:val="28"/>
                <w:szCs w:val="28"/>
                <w:u w:val="none"/>
                <w:lang w:val="en-US" w:eastAsia="zh-CN" w:bidi="ar"/>
              </w:rPr>
              <w:t>2021年机关运行经费当年一般公共预算拨款156.59万元。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较去年减少1.34万元，降幅-0.8%，原因是人员调整和厉行节约。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b/>
                <w:bCs/>
                <w:i w:val="0"/>
                <w:iCs w:val="0"/>
                <w:color w:val="auto"/>
                <w:sz w:val="28"/>
                <w:szCs w:val="28"/>
                <w:u w:val="none"/>
              </w:rPr>
            </w:pPr>
            <w:r>
              <w:rPr>
                <w:rFonts w:hint="eastAsia" w:ascii="楷体_GB2312" w:hAnsi="宋体" w:eastAsia="楷体_GB2312" w:cs="楷体_GB2312"/>
                <w:b/>
                <w:bCs/>
                <w:i w:val="0"/>
                <w:iCs w:val="0"/>
                <w:color w:val="auto"/>
                <w:kern w:val="0"/>
                <w:sz w:val="28"/>
                <w:szCs w:val="28"/>
                <w:u w:val="none"/>
                <w:lang w:val="en-US" w:eastAsia="zh-CN" w:bidi="ar"/>
              </w:rPr>
              <w:t xml:space="preserve">    （二）“三公”经费预算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w:t>
            </w:r>
            <w:r>
              <w:rPr>
                <w:rFonts w:hint="eastAsia" w:ascii="仿宋_GB2312" w:hAnsi="宋体" w:cs="仿宋_GB2312"/>
                <w:i w:val="0"/>
                <w:iCs w:val="0"/>
                <w:color w:val="auto"/>
                <w:kern w:val="0"/>
                <w:sz w:val="28"/>
                <w:szCs w:val="28"/>
                <w:u w:val="none"/>
                <w:lang w:val="en-US" w:eastAsia="zh-CN" w:bidi="ar"/>
              </w:rPr>
              <w:t>本部门（单位）</w:t>
            </w:r>
            <w:r>
              <w:rPr>
                <w:rFonts w:hint="eastAsia" w:ascii="仿宋_GB2312" w:hAnsi="宋体" w:eastAsia="仿宋_GB2312" w:cs="仿宋_GB2312"/>
                <w:i w:val="0"/>
                <w:iCs w:val="0"/>
                <w:color w:val="auto"/>
                <w:kern w:val="0"/>
                <w:sz w:val="28"/>
                <w:szCs w:val="28"/>
                <w:u w:val="none"/>
                <w:lang w:val="en-US" w:eastAsia="zh-CN" w:bidi="ar"/>
              </w:rPr>
              <w:t>2021年“三公”经费预算数72.00万元，其中公务接待费32.00万元，因公出国（境）费5.00万元，公务用车购置及运行费35.00万元（其中公务用车购置费0.00万元，公务用车运行费35.00万元）。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8"/>
                <w:szCs w:val="28"/>
                <w:u w:val="none"/>
                <w:lang w:val="en-US"/>
              </w:rPr>
            </w:pPr>
            <w:r>
              <w:rPr>
                <w:rFonts w:hint="eastAsia" w:ascii="仿宋_GB2312" w:hAnsi="宋体" w:eastAsia="仿宋_GB2312" w:cs="仿宋_GB2312"/>
                <w:i w:val="0"/>
                <w:iCs w:val="0"/>
                <w:color w:val="auto"/>
                <w:kern w:val="0"/>
                <w:sz w:val="28"/>
                <w:szCs w:val="28"/>
                <w:u w:val="none"/>
                <w:lang w:val="en-US" w:eastAsia="zh-CN" w:bidi="ar"/>
              </w:rPr>
              <w:t xml:space="preserve">    </w:t>
            </w:r>
            <w:r>
              <w:rPr>
                <w:rFonts w:hint="eastAsia" w:ascii="仿宋_GB2312" w:hAnsi="宋体" w:cs="仿宋_GB2312"/>
                <w:i w:val="0"/>
                <w:iCs w:val="0"/>
                <w:color w:val="auto"/>
                <w:kern w:val="0"/>
                <w:sz w:val="28"/>
                <w:szCs w:val="28"/>
                <w:u w:val="none"/>
                <w:lang w:val="en-US" w:eastAsia="zh-CN" w:bidi="ar"/>
              </w:rPr>
              <w:t>与上年持平。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b/>
                <w:bCs/>
                <w:i w:val="0"/>
                <w:iCs w:val="0"/>
                <w:color w:val="auto"/>
                <w:sz w:val="28"/>
                <w:szCs w:val="28"/>
                <w:u w:val="none"/>
              </w:rPr>
            </w:pPr>
            <w:r>
              <w:rPr>
                <w:rFonts w:hint="eastAsia" w:ascii="楷体_GB2312" w:hAnsi="宋体" w:eastAsia="楷体_GB2312" w:cs="楷体_GB2312"/>
                <w:b/>
                <w:bCs/>
                <w:i w:val="0"/>
                <w:iCs w:val="0"/>
                <w:color w:val="auto"/>
                <w:kern w:val="0"/>
                <w:sz w:val="28"/>
                <w:szCs w:val="28"/>
                <w:u w:val="none"/>
                <w:lang w:val="en-US" w:eastAsia="zh-CN" w:bidi="ar"/>
              </w:rPr>
              <w:t xml:space="preserve">    （三）一般性支出情况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8"/>
                <w:szCs w:val="28"/>
                <w:u w:val="none"/>
                <w:lang w:val="en-US"/>
              </w:rPr>
            </w:pPr>
            <w:r>
              <w:rPr>
                <w:rFonts w:hint="eastAsia" w:ascii="仿宋_GB2312" w:hAnsi="宋体" w:eastAsia="仿宋_GB2312" w:cs="仿宋_GB2312"/>
                <w:i w:val="0"/>
                <w:iCs w:val="0"/>
                <w:color w:val="auto"/>
                <w:kern w:val="0"/>
                <w:sz w:val="28"/>
                <w:szCs w:val="28"/>
                <w:u w:val="none"/>
                <w:lang w:val="en-US" w:eastAsia="zh-CN" w:bidi="ar"/>
              </w:rPr>
              <w:t xml:space="preserve">    </w:t>
            </w:r>
            <w:r>
              <w:rPr>
                <w:rFonts w:hint="eastAsia" w:ascii="仿宋_GB2312" w:hAnsi="宋体" w:cs="仿宋_GB2312"/>
                <w:i w:val="0"/>
                <w:iCs w:val="0"/>
                <w:color w:val="auto"/>
                <w:kern w:val="0"/>
                <w:sz w:val="28"/>
                <w:szCs w:val="28"/>
                <w:u w:val="none"/>
                <w:lang w:val="en-US" w:eastAsia="zh-CN" w:bidi="ar"/>
              </w:rPr>
              <w:t>本部门（单位）</w:t>
            </w:r>
            <w:r>
              <w:rPr>
                <w:rFonts w:hint="eastAsia" w:ascii="仿宋_GB2312" w:hAnsi="宋体" w:eastAsia="仿宋_GB2312" w:cs="仿宋_GB2312"/>
                <w:i w:val="0"/>
                <w:iCs w:val="0"/>
                <w:color w:val="auto"/>
                <w:kern w:val="0"/>
                <w:sz w:val="28"/>
                <w:szCs w:val="28"/>
                <w:u w:val="none"/>
                <w:lang w:val="en-US" w:eastAsia="zh-CN" w:bidi="ar"/>
              </w:rPr>
              <w:t>2021年会议费预算1.00万元，拟召开</w:t>
            </w:r>
            <w:r>
              <w:rPr>
                <w:rFonts w:hint="eastAsia" w:ascii="仿宋_GB2312" w:hAnsi="仿宋_GB2312" w:eastAsia="仿宋_GB2312" w:cs="仿宋_GB2312"/>
                <w:color w:val="auto"/>
                <w:sz w:val="28"/>
                <w:szCs w:val="28"/>
              </w:rPr>
              <w:t>5次</w:t>
            </w:r>
            <w:r>
              <w:rPr>
                <w:rFonts w:hint="eastAsia" w:ascii="仿宋_GB2312" w:hAnsi="仿宋_GB2312" w:cs="仿宋_GB2312"/>
                <w:color w:val="auto"/>
                <w:sz w:val="28"/>
                <w:szCs w:val="28"/>
                <w:lang w:val="en-US" w:eastAsia="zh-CN"/>
              </w:rPr>
              <w:t>会议</w:t>
            </w:r>
            <w:r>
              <w:rPr>
                <w:rFonts w:hint="eastAsia" w:ascii="仿宋_GB2312" w:hAnsi="仿宋_GB2312" w:eastAsia="仿宋_GB2312" w:cs="仿宋_GB2312"/>
                <w:color w:val="auto"/>
                <w:sz w:val="28"/>
                <w:szCs w:val="28"/>
              </w:rPr>
              <w:t>，</w:t>
            </w:r>
            <w:r>
              <w:rPr>
                <w:rFonts w:hint="eastAsia" w:ascii="仿宋_GB2312" w:hAnsi="仿宋_GB2312" w:cs="仿宋_GB2312"/>
                <w:color w:val="auto"/>
                <w:sz w:val="28"/>
                <w:szCs w:val="28"/>
                <w:lang w:val="en-US" w:eastAsia="zh-CN"/>
              </w:rPr>
              <w:t>人数</w:t>
            </w:r>
            <w:r>
              <w:rPr>
                <w:rFonts w:hint="eastAsia" w:ascii="仿宋_GB2312" w:hAnsi="仿宋_GB2312" w:eastAsia="仿宋_GB2312" w:cs="仿宋_GB2312"/>
                <w:color w:val="auto"/>
                <w:sz w:val="28"/>
                <w:szCs w:val="28"/>
              </w:rPr>
              <w:t>486人次，内容主要为全市司法行政会议、普法工作会议</w:t>
            </w:r>
            <w:r>
              <w:rPr>
                <w:rFonts w:hint="eastAsia" w:ascii="仿宋_GB2312" w:hAnsi="宋体" w:eastAsia="仿宋_GB2312" w:cs="仿宋_GB2312"/>
                <w:i w:val="0"/>
                <w:iCs w:val="0"/>
                <w:color w:val="auto"/>
                <w:kern w:val="0"/>
                <w:sz w:val="28"/>
                <w:szCs w:val="28"/>
                <w:u w:val="none"/>
                <w:lang w:val="en-US" w:eastAsia="zh-CN" w:bidi="ar"/>
              </w:rPr>
              <w:t>；培训费预算1.02万元，拟开展2场</w:t>
            </w:r>
            <w:r>
              <w:rPr>
                <w:rFonts w:hint="eastAsia" w:ascii="仿宋_GB2312" w:hAnsi="宋体" w:cs="仿宋_GB2312"/>
                <w:i w:val="0"/>
                <w:iCs w:val="0"/>
                <w:color w:val="auto"/>
                <w:kern w:val="0"/>
                <w:sz w:val="28"/>
                <w:szCs w:val="28"/>
                <w:u w:val="none"/>
                <w:lang w:val="en-US" w:eastAsia="zh-CN" w:bidi="ar"/>
              </w:rPr>
              <w:t>培训</w:t>
            </w:r>
            <w:r>
              <w:rPr>
                <w:rFonts w:hint="eastAsia" w:ascii="仿宋_GB2312" w:hAnsi="宋体" w:eastAsia="仿宋_GB2312" w:cs="仿宋_GB2312"/>
                <w:i w:val="0"/>
                <w:iCs w:val="0"/>
                <w:color w:val="auto"/>
                <w:kern w:val="0"/>
                <w:sz w:val="28"/>
                <w:szCs w:val="28"/>
                <w:u w:val="none"/>
                <w:lang w:val="en-US" w:eastAsia="zh-CN" w:bidi="ar"/>
              </w:rPr>
              <w:t>，220人次，内容主要为人民监督员培训</w:t>
            </w:r>
            <w:r>
              <w:rPr>
                <w:rFonts w:hint="eastAsia" w:ascii="仿宋_GB2312" w:hAnsi="宋体" w:cs="仿宋_GB2312"/>
                <w:i w:val="0"/>
                <w:iCs w:val="0"/>
                <w:color w:val="auto"/>
                <w:kern w:val="0"/>
                <w:sz w:val="28"/>
                <w:szCs w:val="28"/>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2021年度本部门（单位）未计划举办节庆、晚会、论坛、赛事活动。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b/>
                <w:bCs/>
                <w:i w:val="0"/>
                <w:iCs w:val="0"/>
                <w:color w:val="auto"/>
                <w:sz w:val="28"/>
                <w:szCs w:val="28"/>
                <w:u w:val="none"/>
              </w:rPr>
            </w:pPr>
            <w:r>
              <w:rPr>
                <w:rFonts w:hint="eastAsia" w:ascii="楷体_GB2312" w:hAnsi="宋体" w:eastAsia="楷体_GB2312" w:cs="楷体_GB2312"/>
                <w:b/>
                <w:bCs/>
                <w:i w:val="0"/>
                <w:iCs w:val="0"/>
                <w:color w:val="auto"/>
                <w:kern w:val="0"/>
                <w:sz w:val="28"/>
                <w:szCs w:val="28"/>
                <w:u w:val="none"/>
                <w:lang w:val="en-US" w:eastAsia="zh-CN" w:bidi="ar"/>
              </w:rPr>
              <w:t xml:space="preserve">    （四）政府采购情况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本部门（单位）2021年政府采购预算总</w:t>
            </w:r>
            <w:r>
              <w:rPr>
                <w:rFonts w:hint="eastAsia" w:ascii="仿宋_GB2312" w:hAnsi="宋体" w:cs="仿宋_GB2312"/>
                <w:i w:val="0"/>
                <w:iCs w:val="0"/>
                <w:color w:val="auto"/>
                <w:kern w:val="0"/>
                <w:sz w:val="28"/>
                <w:szCs w:val="28"/>
                <w:u w:val="none"/>
                <w:lang w:val="en-US" w:eastAsia="zh-CN" w:bidi="ar"/>
              </w:rPr>
              <w:t>80</w:t>
            </w:r>
            <w:r>
              <w:rPr>
                <w:rFonts w:hint="eastAsia" w:ascii="仿宋_GB2312" w:hAnsi="宋体" w:eastAsia="仿宋_GB2312" w:cs="仿宋_GB2312"/>
                <w:i w:val="0"/>
                <w:iCs w:val="0"/>
                <w:color w:val="auto"/>
                <w:kern w:val="0"/>
                <w:sz w:val="28"/>
                <w:szCs w:val="28"/>
                <w:u w:val="none"/>
                <w:lang w:val="en-US" w:eastAsia="zh-CN" w:bidi="ar"/>
              </w:rPr>
              <w:t>万元，其中工程类</w:t>
            </w:r>
            <w:r>
              <w:rPr>
                <w:rFonts w:hint="eastAsia" w:ascii="仿宋_GB2312" w:hAnsi="宋体" w:cs="仿宋_GB2312"/>
                <w:i w:val="0"/>
                <w:iCs w:val="0"/>
                <w:color w:val="auto"/>
                <w:kern w:val="0"/>
                <w:sz w:val="28"/>
                <w:szCs w:val="28"/>
                <w:u w:val="none"/>
                <w:lang w:val="en-US" w:eastAsia="zh-CN" w:bidi="ar"/>
              </w:rPr>
              <w:t>0</w:t>
            </w:r>
            <w:r>
              <w:rPr>
                <w:rFonts w:hint="eastAsia" w:ascii="仿宋_GB2312" w:hAnsi="宋体" w:eastAsia="仿宋_GB2312" w:cs="仿宋_GB2312"/>
                <w:i w:val="0"/>
                <w:iCs w:val="0"/>
                <w:color w:val="auto"/>
                <w:kern w:val="0"/>
                <w:sz w:val="28"/>
                <w:szCs w:val="28"/>
                <w:u w:val="none"/>
                <w:lang w:val="en-US" w:eastAsia="zh-CN" w:bidi="ar"/>
              </w:rPr>
              <w:t>万元，货物类</w:t>
            </w:r>
            <w:r>
              <w:rPr>
                <w:rFonts w:hint="eastAsia" w:ascii="仿宋_GB2312" w:hAnsi="宋体" w:cs="仿宋_GB2312"/>
                <w:i w:val="0"/>
                <w:iCs w:val="0"/>
                <w:color w:val="auto"/>
                <w:kern w:val="0"/>
                <w:sz w:val="28"/>
                <w:szCs w:val="28"/>
                <w:u w:val="none"/>
                <w:lang w:val="en-US" w:eastAsia="zh-CN" w:bidi="ar"/>
              </w:rPr>
              <w:t>0</w:t>
            </w:r>
            <w:r>
              <w:rPr>
                <w:rFonts w:hint="eastAsia" w:ascii="仿宋_GB2312" w:hAnsi="宋体" w:eastAsia="仿宋_GB2312" w:cs="仿宋_GB2312"/>
                <w:i w:val="0"/>
                <w:iCs w:val="0"/>
                <w:color w:val="auto"/>
                <w:kern w:val="0"/>
                <w:sz w:val="28"/>
                <w:szCs w:val="28"/>
                <w:u w:val="none"/>
                <w:lang w:val="en-US" w:eastAsia="zh-CN" w:bidi="ar"/>
              </w:rPr>
              <w:t>万元，服务类</w:t>
            </w:r>
            <w:r>
              <w:rPr>
                <w:rFonts w:hint="eastAsia" w:ascii="仿宋_GB2312" w:hAnsi="宋体" w:cs="仿宋_GB2312"/>
                <w:i w:val="0"/>
                <w:iCs w:val="0"/>
                <w:color w:val="auto"/>
                <w:kern w:val="0"/>
                <w:sz w:val="28"/>
                <w:szCs w:val="28"/>
                <w:u w:val="none"/>
                <w:lang w:val="en-US" w:eastAsia="zh-CN" w:bidi="ar"/>
              </w:rPr>
              <w:t>80</w:t>
            </w:r>
            <w:r>
              <w:rPr>
                <w:rFonts w:hint="eastAsia" w:ascii="仿宋_GB2312" w:hAnsi="宋体" w:eastAsia="仿宋_GB2312" w:cs="仿宋_GB2312"/>
                <w:i w:val="0"/>
                <w:iCs w:val="0"/>
                <w:color w:val="auto"/>
                <w:kern w:val="0"/>
                <w:sz w:val="28"/>
                <w:szCs w:val="2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b/>
                <w:bCs/>
                <w:i w:val="0"/>
                <w:iCs w:val="0"/>
                <w:color w:val="auto"/>
                <w:sz w:val="28"/>
                <w:szCs w:val="28"/>
                <w:u w:val="none"/>
              </w:rPr>
            </w:pPr>
            <w:r>
              <w:rPr>
                <w:rFonts w:hint="eastAsia" w:ascii="楷体_GB2312" w:hAnsi="宋体" w:eastAsia="楷体_GB2312" w:cs="楷体_GB2312"/>
                <w:b/>
                <w:bCs/>
                <w:i w:val="0"/>
                <w:iCs w:val="0"/>
                <w:color w:val="auto"/>
                <w:kern w:val="0"/>
                <w:sz w:val="28"/>
                <w:szCs w:val="28"/>
                <w:u w:val="none"/>
                <w:lang w:val="en-US" w:eastAsia="zh-CN" w:bidi="ar"/>
              </w:rPr>
              <w:t xml:space="preserve">    （五）国有资产占有使用及新增资产配置情况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截至上一年12月底，本部门（单位）共有车辆</w:t>
            </w:r>
            <w:r>
              <w:rPr>
                <w:rFonts w:hint="eastAsia" w:ascii="仿宋_GB2312" w:hAnsi="宋体" w:cs="仿宋_GB2312"/>
                <w:i w:val="0"/>
                <w:iCs w:val="0"/>
                <w:color w:val="auto"/>
                <w:kern w:val="0"/>
                <w:sz w:val="28"/>
                <w:szCs w:val="28"/>
                <w:u w:val="none"/>
                <w:lang w:val="en-US" w:eastAsia="zh-CN" w:bidi="ar"/>
              </w:rPr>
              <w:t>6</w:t>
            </w:r>
            <w:r>
              <w:rPr>
                <w:rFonts w:hint="eastAsia" w:ascii="仿宋_GB2312" w:hAnsi="宋体" w:eastAsia="仿宋_GB2312" w:cs="仿宋_GB2312"/>
                <w:i w:val="0"/>
                <w:iCs w:val="0"/>
                <w:color w:val="auto"/>
                <w:kern w:val="0"/>
                <w:sz w:val="28"/>
                <w:szCs w:val="28"/>
                <w:u w:val="none"/>
                <w:lang w:val="en-US" w:eastAsia="zh-CN" w:bidi="ar"/>
              </w:rPr>
              <w:t>辆，其中领导干部用车</w:t>
            </w:r>
            <w:r>
              <w:rPr>
                <w:rFonts w:hint="eastAsia" w:ascii="仿宋_GB2312" w:hAnsi="宋体" w:cs="仿宋_GB2312"/>
                <w:i w:val="0"/>
                <w:iCs w:val="0"/>
                <w:color w:val="auto"/>
                <w:kern w:val="0"/>
                <w:sz w:val="28"/>
                <w:szCs w:val="28"/>
                <w:u w:val="none"/>
                <w:lang w:val="en-US" w:eastAsia="zh-CN" w:bidi="ar"/>
              </w:rPr>
              <w:t>0</w:t>
            </w:r>
            <w:r>
              <w:rPr>
                <w:rFonts w:hint="eastAsia" w:ascii="仿宋_GB2312" w:hAnsi="宋体" w:eastAsia="仿宋_GB2312" w:cs="仿宋_GB2312"/>
                <w:i w:val="0"/>
                <w:iCs w:val="0"/>
                <w:color w:val="auto"/>
                <w:kern w:val="0"/>
                <w:sz w:val="28"/>
                <w:szCs w:val="28"/>
                <w:u w:val="none"/>
                <w:lang w:val="en-US" w:eastAsia="zh-CN" w:bidi="ar"/>
              </w:rPr>
              <w:t>辆，一般公务用车</w:t>
            </w:r>
            <w:r>
              <w:rPr>
                <w:rFonts w:hint="eastAsia" w:ascii="仿宋_GB2312" w:hAnsi="宋体" w:cs="仿宋_GB2312"/>
                <w:i w:val="0"/>
                <w:iCs w:val="0"/>
                <w:color w:val="auto"/>
                <w:kern w:val="0"/>
                <w:sz w:val="28"/>
                <w:szCs w:val="28"/>
                <w:u w:val="none"/>
                <w:lang w:val="en-US" w:eastAsia="zh-CN" w:bidi="ar"/>
              </w:rPr>
              <w:t>1</w:t>
            </w:r>
            <w:r>
              <w:rPr>
                <w:rFonts w:hint="eastAsia" w:ascii="仿宋_GB2312" w:hAnsi="宋体" w:eastAsia="仿宋_GB2312" w:cs="仿宋_GB2312"/>
                <w:i w:val="0"/>
                <w:iCs w:val="0"/>
                <w:color w:val="auto"/>
                <w:kern w:val="0"/>
                <w:sz w:val="28"/>
                <w:szCs w:val="28"/>
                <w:u w:val="none"/>
                <w:lang w:val="en-US" w:eastAsia="zh-CN" w:bidi="ar"/>
              </w:rPr>
              <w:t>辆，其他用车</w:t>
            </w:r>
            <w:r>
              <w:rPr>
                <w:rFonts w:hint="eastAsia" w:ascii="仿宋_GB2312" w:hAnsi="宋体" w:cs="仿宋_GB2312"/>
                <w:i w:val="0"/>
                <w:iCs w:val="0"/>
                <w:color w:val="auto"/>
                <w:kern w:val="0"/>
                <w:sz w:val="28"/>
                <w:szCs w:val="28"/>
                <w:u w:val="none"/>
                <w:lang w:val="en-US" w:eastAsia="zh-CN" w:bidi="ar"/>
              </w:rPr>
              <w:t>5</w:t>
            </w:r>
            <w:r>
              <w:rPr>
                <w:rFonts w:hint="eastAsia" w:ascii="仿宋_GB2312" w:hAnsi="宋体" w:eastAsia="仿宋_GB2312" w:cs="仿宋_GB2312"/>
                <w:i w:val="0"/>
                <w:iCs w:val="0"/>
                <w:color w:val="auto"/>
                <w:kern w:val="0"/>
                <w:sz w:val="28"/>
                <w:szCs w:val="28"/>
                <w:u w:val="none"/>
                <w:lang w:val="en-US" w:eastAsia="zh-CN" w:bidi="ar"/>
              </w:rPr>
              <w:t>辆。单位价值50万元以上通用设备</w:t>
            </w:r>
            <w:r>
              <w:rPr>
                <w:rFonts w:hint="eastAsia" w:ascii="仿宋_GB2312" w:hAnsi="宋体" w:cs="仿宋_GB2312"/>
                <w:i w:val="0"/>
                <w:iCs w:val="0"/>
                <w:color w:val="auto"/>
                <w:kern w:val="0"/>
                <w:sz w:val="28"/>
                <w:szCs w:val="28"/>
                <w:u w:val="none"/>
                <w:lang w:val="en-US" w:eastAsia="zh-CN" w:bidi="ar"/>
              </w:rPr>
              <w:t>0</w:t>
            </w:r>
            <w:r>
              <w:rPr>
                <w:rFonts w:hint="eastAsia" w:ascii="仿宋_GB2312" w:hAnsi="宋体" w:eastAsia="仿宋_GB2312" w:cs="仿宋_GB2312"/>
                <w:i w:val="0"/>
                <w:iCs w:val="0"/>
                <w:color w:val="auto"/>
                <w:kern w:val="0"/>
                <w:sz w:val="28"/>
                <w:szCs w:val="28"/>
                <w:u w:val="none"/>
                <w:lang w:val="en-US" w:eastAsia="zh-CN" w:bidi="ar"/>
              </w:rPr>
              <w:t>台，单位价值100万元以上专用设备</w:t>
            </w:r>
            <w:r>
              <w:rPr>
                <w:rFonts w:hint="eastAsia" w:ascii="仿宋_GB2312" w:hAnsi="宋体" w:cs="仿宋_GB2312"/>
                <w:i w:val="0"/>
                <w:iCs w:val="0"/>
                <w:color w:val="auto"/>
                <w:kern w:val="0"/>
                <w:sz w:val="28"/>
                <w:szCs w:val="28"/>
                <w:u w:val="none"/>
                <w:lang w:val="en-US" w:eastAsia="zh-CN" w:bidi="ar"/>
              </w:rPr>
              <w:t>0</w:t>
            </w:r>
            <w:r>
              <w:rPr>
                <w:rFonts w:hint="eastAsia" w:ascii="仿宋_GB2312" w:hAnsi="宋体" w:eastAsia="仿宋_GB2312" w:cs="仿宋_GB2312"/>
                <w:i w:val="0"/>
                <w:iCs w:val="0"/>
                <w:color w:val="auto"/>
                <w:kern w:val="0"/>
                <w:sz w:val="28"/>
                <w:szCs w:val="2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2021年度本部门（单位）未计划处置或新增车辆、设备等。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b/>
                <w:bCs/>
                <w:i w:val="0"/>
                <w:iCs w:val="0"/>
                <w:color w:val="auto"/>
                <w:sz w:val="28"/>
                <w:szCs w:val="28"/>
                <w:u w:val="none"/>
              </w:rPr>
            </w:pPr>
            <w:r>
              <w:rPr>
                <w:rFonts w:hint="eastAsia" w:ascii="楷体_GB2312" w:hAnsi="宋体" w:eastAsia="楷体_GB2312" w:cs="楷体_GB2312"/>
                <w:b/>
                <w:bCs/>
                <w:i w:val="0"/>
                <w:iCs w:val="0"/>
                <w:color w:val="auto"/>
                <w:kern w:val="0"/>
                <w:sz w:val="28"/>
                <w:szCs w:val="28"/>
                <w:u w:val="none"/>
                <w:lang w:val="en-US" w:eastAsia="zh-CN" w:bidi="ar"/>
              </w:rPr>
              <w:t xml:space="preserve">    （六）预算绩效目标说明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w:t>
            </w:r>
            <w:r>
              <w:rPr>
                <w:rFonts w:hint="eastAsia" w:ascii="仿宋_GB2312" w:hAnsi="宋体" w:cs="仿宋_GB2312"/>
                <w:i w:val="0"/>
                <w:iCs w:val="0"/>
                <w:color w:val="auto"/>
                <w:kern w:val="0"/>
                <w:sz w:val="28"/>
                <w:szCs w:val="28"/>
                <w:u w:val="none"/>
                <w:lang w:val="en-US" w:eastAsia="zh-CN" w:bidi="ar"/>
              </w:rPr>
              <w:t>本部门（单位）</w:t>
            </w:r>
            <w:r>
              <w:rPr>
                <w:rFonts w:hint="eastAsia" w:ascii="仿宋_GB2312" w:hAnsi="宋体" w:eastAsia="仿宋_GB2312" w:cs="仿宋_GB2312"/>
                <w:i w:val="0"/>
                <w:iCs w:val="0"/>
                <w:color w:val="auto"/>
                <w:kern w:val="0"/>
                <w:sz w:val="28"/>
                <w:szCs w:val="28"/>
                <w:u w:val="none"/>
                <w:lang w:val="en-US" w:eastAsia="zh-CN" w:bidi="ar"/>
              </w:rPr>
              <w:t>所有支出实行绩效目标管理。纳入2021年单位整体支出绩效目标的金额为1,528.56万元，其中，基本支出1,064.54万元，项目支出464.02万元，绩效目标详见文尾附表中预算公开表格的表22-23。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 xml:space="preserve">    七、名词解释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6"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1、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5000" w:type="pct"/>
            <w:tcBorders>
              <w:top w:val="nil"/>
              <w:left w:val="nil"/>
              <w:bottom w:val="nil"/>
              <w:right w:val="nil"/>
            </w:tcBorders>
            <w:shd w:val="clear" w:color="auto" w:fill="auto"/>
            <w:vAlign w:val="center"/>
          </w:tcPr>
          <w:p>
            <w:pP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36"/>
                <w:szCs w:val="36"/>
                <w:u w:val="none"/>
              </w:rPr>
            </w:pPr>
            <w:r>
              <w:rPr>
                <w:rFonts w:hint="eastAsia" w:ascii="黑体" w:hAnsi="宋体" w:eastAsia="黑体" w:cs="黑体"/>
                <w:i w:val="0"/>
                <w:iCs w:val="0"/>
                <w:color w:val="auto"/>
                <w:kern w:val="0"/>
                <w:sz w:val="36"/>
                <w:szCs w:val="36"/>
                <w:u w:val="none"/>
                <w:lang w:val="en-US" w:eastAsia="zh-CN" w:bidi="ar"/>
              </w:rPr>
              <w:t>第二部分  部门预算公开表格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5000" w:type="pct"/>
            <w:tcBorders>
              <w:top w:val="nil"/>
              <w:left w:val="nil"/>
              <w:bottom w:val="nil"/>
              <w:right w:val="nil"/>
            </w:tcBorders>
            <w:shd w:val="clear" w:color="auto" w:fill="auto"/>
            <w:vAlign w:val="center"/>
          </w:tcPr>
          <w:p>
            <w:pPr>
              <w:keepNext w:val="0"/>
              <w:keepLines w:val="0"/>
              <w:widowControl/>
              <w:numPr>
                <w:ilvl w:val="0"/>
                <w:numId w:val="2"/>
              </w:numPr>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收支总表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二、收入总表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三、支出总表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四、支出预算分类汇总表（按政府预算经济分类）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五、支出预算分类汇总表（按部门预算经济分类）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六、财政拨款收支总表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七、一般公共预算支出表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八、一般公共预算基本支出表--人员经费(工资福利支出)(按政府预算经济分类)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九、一般公共预算基本支出表--人员经费(工资福利支出)(按部门预算经济分类)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十、一般公共预算基本支出表--人员经费(对个人和家庭的补助)(按政府预算经济分类)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十一、一般公共预算基本支出表--人员经费(对个人和家庭的补助)（按部门预算经济分类）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十二、一般公共预算基本支出表--公用经费(商品和服务支出)（按政府预算经济分类）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十三、一般公共预算基本支出表--公用经费(商品和服务支出)(按部门预算经济分类)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十四、一般公共预算“三公”经费支出表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十五、政府性基金预算支出表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十六、政府性基金预算支出分类汇总表（按政府预算经济分类）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十七、政府性基金预算支出分类汇总表（按部门预算经济分类）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十八、国有资产经营预算支出表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十九、纳入专户管理的非税收入拨款支出预算表(按政府预算经济分类)</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二十、纳入专户管理的非税收入拨款支出预算表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二十一、支出预算项目明细表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二十二、财政支出项目预算绩效目标申报表</w:t>
            </w:r>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二十三、部门(单位)整体支出预算绩效目标申报表</w:t>
            </w:r>
          </w:p>
          <w:p>
            <w:pPr>
              <w:keepNext w:val="0"/>
              <w:keepLines w:val="0"/>
              <w:widowControl/>
              <w:numPr>
                <w:numId w:val="0"/>
              </w:numPr>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cs="仿宋_GB2312"/>
                <w:i w:val="0"/>
                <w:iCs w:val="0"/>
                <w:color w:val="auto"/>
                <w:kern w:val="0"/>
                <w:sz w:val="28"/>
                <w:szCs w:val="28"/>
                <w:u w:val="none"/>
                <w:lang w:val="en-US" w:eastAsia="zh-CN" w:bidi="ar"/>
              </w:rPr>
              <w:t>二十四、一般公共预算基本支出总表</w:t>
            </w:r>
            <w:bookmarkStart w:id="0" w:name="_GoBack"/>
            <w:bookmarkEnd w:id="0"/>
            <w:r>
              <w:rPr>
                <w:rFonts w:hint="eastAsia" w:ascii="仿宋_GB2312" w:hAnsi="宋体" w:eastAsia="仿宋_GB2312" w:cs="仿宋_GB2312"/>
                <w:i w:val="0"/>
                <w:iCs w:val="0"/>
                <w:color w:val="auto"/>
                <w:kern w:val="0"/>
                <w:sz w:val="28"/>
                <w:szCs w:val="28"/>
                <w:u w:val="none"/>
                <w:lang w:val="en-US" w:eastAsia="zh-CN" w:bidi="ar"/>
              </w:rPr>
              <w:br w:type="textWrapping"/>
            </w:r>
            <w:r>
              <w:rPr>
                <w:rFonts w:hint="eastAsia" w:ascii="仿宋_GB2312" w:hAnsi="宋体" w:eastAsia="仿宋_GB2312" w:cs="仿宋_GB2312"/>
                <w:i w:val="0"/>
                <w:iCs w:val="0"/>
                <w:color w:val="auto"/>
                <w:kern w:val="0"/>
                <w:sz w:val="28"/>
                <w:szCs w:val="28"/>
                <w:u w:val="none"/>
                <w:lang w:val="en-US" w:eastAsia="zh-CN" w:bidi="ar"/>
              </w:rPr>
              <w:t>注：以上部门预算公开报表中，空表表示本部门（单位）无相关收支情况。</w:t>
            </w:r>
          </w:p>
        </w:tc>
      </w:tr>
    </w:tbl>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2712A"/>
    <w:multiLevelType w:val="singleLevel"/>
    <w:tmpl w:val="B822712A"/>
    <w:lvl w:ilvl="0" w:tentative="0">
      <w:start w:val="1"/>
      <w:numFmt w:val="chineseCounting"/>
      <w:suff w:val="nothing"/>
      <w:lvlText w:val="%1、"/>
      <w:lvlJc w:val="left"/>
      <w:rPr>
        <w:rFonts w:hint="eastAsia"/>
      </w:rPr>
    </w:lvl>
  </w:abstractNum>
  <w:abstractNum w:abstractNumId="1">
    <w:nsid w:val="4C5D37C1"/>
    <w:multiLevelType w:val="singleLevel"/>
    <w:tmpl w:val="4C5D37C1"/>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MmE1ZTNlNzA4YjgyNDIxMDIwOGIzMWI3NDY0OTkifQ=="/>
  </w:docVars>
  <w:rsids>
    <w:rsidRoot w:val="48885009"/>
    <w:rsid w:val="060F4036"/>
    <w:rsid w:val="065E55AA"/>
    <w:rsid w:val="0CA829AF"/>
    <w:rsid w:val="16375D98"/>
    <w:rsid w:val="312E36D8"/>
    <w:rsid w:val="3B51265F"/>
    <w:rsid w:val="446F5618"/>
    <w:rsid w:val="48885009"/>
    <w:rsid w:val="4E542F0D"/>
    <w:rsid w:val="576D2B71"/>
    <w:rsid w:val="67E728E0"/>
    <w:rsid w:val="707F6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ind w:firstLine="0" w:firstLineChars="0"/>
      <w:jc w:val="both"/>
    </w:pPr>
    <w:rPr>
      <w:rFonts w:ascii="Times New Roman" w:hAnsi="Times New Roman" w:eastAsia="仿宋_GB2312" w:cstheme="minorBidi"/>
      <w:kern w:val="2"/>
      <w:sz w:val="28"/>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ind w:firstLine="643" w:firstLineChars="200"/>
      <w:outlineLvl w:val="1"/>
    </w:pPr>
    <w:rPr>
      <w:rFonts w:ascii="Arial" w:hAnsi="Arial" w:eastAsia="黑体" w:cs="Times New Roman"/>
      <w:b/>
      <w:sz w:val="32"/>
    </w:rPr>
  </w:style>
  <w:style w:type="paragraph" w:styleId="3">
    <w:name w:val="heading 3"/>
    <w:basedOn w:val="1"/>
    <w:next w:val="1"/>
    <w:link w:val="6"/>
    <w:semiHidden/>
    <w:unhideWhenUsed/>
    <w:qFormat/>
    <w:uiPriority w:val="0"/>
    <w:pPr>
      <w:keepNext/>
      <w:keepLines/>
      <w:spacing w:before="260" w:beforeLines="0" w:beforeAutospacing="0" w:after="260" w:afterLines="0" w:afterAutospacing="0" w:line="413" w:lineRule="auto"/>
      <w:outlineLvl w:val="2"/>
    </w:pPr>
    <w:rPr>
      <w:rFonts w:ascii="Calibri" w:hAnsi="Calibri" w:eastAsia="楷体_GB2312" w:cs="Arial"/>
      <w:b/>
      <w:sz w:val="32"/>
      <w:szCs w:val="2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3 Char"/>
    <w:link w:val="3"/>
    <w:qFormat/>
    <w:uiPriority w:val="0"/>
    <w:rPr>
      <w:rFonts w:ascii="Calibri" w:hAnsi="Calibri" w:eastAsia="楷体_GB2312" w:cs="Arial"/>
      <w:b/>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3821</Words>
  <Characters>4148</Characters>
  <Lines>0</Lines>
  <Paragraphs>0</Paragraphs>
  <TotalTime>0</TotalTime>
  <ScaleCrop>false</ScaleCrop>
  <LinksUpToDate>false</LinksUpToDate>
  <CharactersWithSpaces>4366</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2022-06-06T11:01:00Z</dcterms:created>
  <dc:creator>German Phillip</dc:creator>
  <cp:lastModifiedBy>K</cp:lastModifiedBy>
  <dcterms:modified xsi:type="dcterms:W3CDTF">2022-09-05T03:17:36Z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A3FCAFEB415E4B2B81C7D89A720D2D66</vt:lpwstr>
  </property>
</Properties>
</file>