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岳阳市司法局</w:t>
      </w:r>
      <w:bookmarkStart w:id="0" w:name="_GoBack"/>
      <w:bookmarkEnd w:id="0"/>
      <w:r>
        <w:rPr>
          <w:rFonts w:hint="eastAsia" w:ascii="宋体" w:hAnsi="宋体" w:eastAsia="宋体" w:cs="宋体"/>
          <w:b/>
          <w:bCs w:val="0"/>
          <w:sz w:val="44"/>
          <w:szCs w:val="44"/>
          <w:lang w:eastAsia="zh-CN"/>
        </w:rPr>
        <w:t>绩效</w:t>
      </w:r>
      <w:r>
        <w:rPr>
          <w:rFonts w:hint="eastAsia" w:ascii="宋体" w:hAnsi="宋体" w:eastAsia="宋体" w:cs="宋体"/>
          <w:b/>
          <w:bCs w:val="0"/>
          <w:sz w:val="44"/>
          <w:szCs w:val="44"/>
        </w:rPr>
        <w:t>评价报告</w:t>
      </w:r>
    </w:p>
    <w:p>
      <w:pPr>
        <w:spacing w:line="440" w:lineRule="exact"/>
        <w:ind w:firstLine="640" w:firstLineChars="200"/>
        <w:rPr>
          <w:rFonts w:hint="eastAsia" w:ascii="仿宋" w:hAnsi="仿宋" w:eastAsia="仿宋" w:cs="仿宋"/>
          <w:sz w:val="32"/>
          <w:szCs w:val="32"/>
        </w:rPr>
      </w:pP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一、部门概况</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（一）部门基本情况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委全面依法治市委员会办公室设市司法局，市委依法治市办内设秘书科，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w:t>
      </w:r>
      <w:r>
        <w:rPr>
          <w:rFonts w:hint="eastAsia" w:ascii="仿宋" w:hAnsi="仿宋" w:eastAsia="仿宋" w:cs="仿宋"/>
          <w:bCs/>
          <w:sz w:val="28"/>
          <w:szCs w:val="28"/>
          <w:lang w:val="en-US" w:eastAsia="zh-CN"/>
        </w:rPr>
        <w:t>81</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66</w:t>
      </w:r>
      <w:r>
        <w:rPr>
          <w:rFonts w:hint="eastAsia" w:ascii="仿宋" w:hAnsi="仿宋" w:eastAsia="仿宋" w:cs="仿宋"/>
          <w:bCs/>
          <w:sz w:val="28"/>
          <w:szCs w:val="28"/>
        </w:rPr>
        <w:t>人。</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（二）部门整体支出规模、使用方向和主要内容、涉及范围等</w:t>
      </w:r>
    </w:p>
    <w:p>
      <w:pPr>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    2021</w:t>
      </w:r>
      <w:r>
        <w:rPr>
          <w:rFonts w:hint="eastAsia" w:ascii="仿宋" w:hAnsi="仿宋" w:eastAsia="仿宋" w:cs="仿宋"/>
          <w:bCs/>
          <w:sz w:val="28"/>
          <w:szCs w:val="28"/>
        </w:rPr>
        <w:t>年度局机关支出合计</w:t>
      </w:r>
      <w:r>
        <w:rPr>
          <w:rFonts w:hint="eastAsia" w:ascii="仿宋" w:hAnsi="仿宋" w:eastAsia="仿宋" w:cs="仿宋"/>
          <w:bCs/>
          <w:sz w:val="28"/>
          <w:szCs w:val="28"/>
          <w:lang w:val="en-US" w:eastAsia="zh-CN"/>
        </w:rPr>
        <w:t>2101.34</w:t>
      </w:r>
      <w:r>
        <w:rPr>
          <w:rFonts w:hint="eastAsia" w:ascii="仿宋" w:hAnsi="仿宋" w:eastAsia="仿宋" w:cs="仿宋"/>
          <w:bCs/>
          <w:sz w:val="28"/>
          <w:szCs w:val="28"/>
        </w:rPr>
        <w:t>万元，基本支出</w:t>
      </w:r>
      <w:r>
        <w:rPr>
          <w:rFonts w:hint="eastAsia" w:ascii="仿宋" w:hAnsi="仿宋" w:eastAsia="仿宋" w:cs="仿宋"/>
          <w:bCs/>
          <w:sz w:val="28"/>
          <w:szCs w:val="28"/>
          <w:lang w:val="en-US" w:eastAsia="zh-CN"/>
        </w:rPr>
        <w:t>1624.52</w:t>
      </w:r>
      <w:r>
        <w:rPr>
          <w:rFonts w:hint="eastAsia" w:ascii="仿宋" w:hAnsi="仿宋" w:eastAsia="仿宋" w:cs="仿宋"/>
          <w:bCs/>
          <w:sz w:val="28"/>
          <w:szCs w:val="28"/>
        </w:rPr>
        <w:t>万元，其中人员经费支出</w:t>
      </w:r>
      <w:r>
        <w:rPr>
          <w:rFonts w:hint="eastAsia" w:ascii="仿宋" w:hAnsi="仿宋" w:eastAsia="仿宋" w:cs="仿宋"/>
          <w:bCs/>
          <w:sz w:val="28"/>
          <w:szCs w:val="28"/>
          <w:lang w:val="en-US" w:eastAsia="zh-CN"/>
        </w:rPr>
        <w:t>1336.45</w:t>
      </w:r>
      <w:r>
        <w:rPr>
          <w:rFonts w:hint="eastAsia" w:ascii="仿宋" w:hAnsi="仿宋" w:eastAsia="仿宋" w:cs="仿宋"/>
          <w:bCs/>
          <w:sz w:val="28"/>
          <w:szCs w:val="28"/>
        </w:rPr>
        <w:t>万元，公用经费</w:t>
      </w:r>
      <w:r>
        <w:rPr>
          <w:rFonts w:hint="eastAsia" w:ascii="仿宋" w:hAnsi="仿宋" w:eastAsia="仿宋" w:cs="仿宋"/>
          <w:bCs/>
          <w:sz w:val="28"/>
          <w:szCs w:val="28"/>
          <w:lang w:val="en-US" w:eastAsia="zh-CN"/>
        </w:rPr>
        <w:t>288.07</w:t>
      </w:r>
      <w:r>
        <w:rPr>
          <w:rFonts w:hint="eastAsia" w:ascii="仿宋" w:hAnsi="仿宋" w:eastAsia="仿宋" w:cs="仿宋"/>
          <w:bCs/>
          <w:sz w:val="28"/>
          <w:szCs w:val="28"/>
        </w:rPr>
        <w:t>万元；项目专项支出</w:t>
      </w:r>
      <w:r>
        <w:rPr>
          <w:rFonts w:hint="eastAsia" w:ascii="仿宋" w:hAnsi="仿宋" w:eastAsia="仿宋" w:cs="仿宋"/>
          <w:bCs/>
          <w:sz w:val="28"/>
          <w:szCs w:val="28"/>
          <w:lang w:val="en-US" w:eastAsia="zh-CN"/>
        </w:rPr>
        <w:t>476.82</w:t>
      </w:r>
      <w:r>
        <w:rPr>
          <w:rFonts w:hint="eastAsia" w:ascii="仿宋" w:hAnsi="仿宋" w:eastAsia="仿宋" w:cs="仿宋"/>
          <w:bCs/>
          <w:sz w:val="28"/>
          <w:szCs w:val="28"/>
        </w:rPr>
        <w:t>万元。专项支出主要用于行政立法、行政执法、依法治市、戒毒人员管理、法律援助、人民调解、社区矫正和安置帮教。</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二、部门整体支出管理及使用情况</w:t>
      </w:r>
    </w:p>
    <w:p>
      <w:p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（一）基本支出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2021年度局机关基本支出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1624.52</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1336.45</w:t>
      </w:r>
      <w:r>
        <w:rPr>
          <w:rFonts w:hint="eastAsia" w:ascii="仿宋" w:hAnsi="仿宋" w:eastAsia="仿宋" w:cs="仿宋"/>
          <w:bCs/>
          <w:sz w:val="28"/>
          <w:szCs w:val="28"/>
        </w:rPr>
        <w:t>万元，主要用于发放行政人员、事业人员以及</w:t>
      </w:r>
      <w:r>
        <w:rPr>
          <w:rFonts w:hint="eastAsia" w:ascii="仿宋" w:hAnsi="仿宋" w:eastAsia="仿宋" w:cs="仿宋"/>
          <w:bCs/>
          <w:sz w:val="28"/>
          <w:szCs w:val="28"/>
          <w:lang w:eastAsia="zh-CN"/>
        </w:rPr>
        <w:t>劳务派遣人员</w:t>
      </w:r>
      <w:r>
        <w:rPr>
          <w:rFonts w:hint="eastAsia" w:ascii="仿宋" w:hAnsi="仿宋" w:eastAsia="仿宋" w:cs="仿宋"/>
          <w:bCs/>
          <w:sz w:val="28"/>
          <w:szCs w:val="28"/>
        </w:rPr>
        <w:t>工资及津补贴；支付机关离退休员工的工资及津补贴、抚恤金、丧葬费、生活补助等；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288.07</w:t>
      </w:r>
      <w:r>
        <w:rPr>
          <w:rFonts w:hint="eastAsia" w:ascii="仿宋" w:hAnsi="仿宋" w:eastAsia="仿宋" w:cs="仿宋"/>
          <w:bCs/>
          <w:sz w:val="28"/>
          <w:szCs w:val="28"/>
        </w:rPr>
        <w:t>万元，主要用于保障机关正常运转所需开支的办公费、差旅费、招待费、会议费、公务用车运行维护费、物业管理费等。</w:t>
      </w:r>
    </w:p>
    <w:p>
      <w:pPr>
        <w:ind w:firstLine="562" w:firstLineChars="20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（二）专项支出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年度局机关项目支出合计</w:t>
      </w:r>
      <w:r>
        <w:rPr>
          <w:rFonts w:hint="eastAsia" w:ascii="仿宋" w:hAnsi="仿宋" w:eastAsia="仿宋" w:cs="仿宋"/>
          <w:bCs/>
          <w:sz w:val="28"/>
          <w:szCs w:val="28"/>
          <w:lang w:val="en-US" w:eastAsia="zh-CN"/>
        </w:rPr>
        <w:t>476.82</w:t>
      </w:r>
      <w:r>
        <w:rPr>
          <w:rFonts w:hint="eastAsia" w:ascii="仿宋" w:hAnsi="仿宋" w:eastAsia="仿宋" w:cs="仿宋"/>
          <w:bCs/>
          <w:sz w:val="28"/>
          <w:szCs w:val="28"/>
        </w:rPr>
        <w:t>万元。专项支出主要用于行政立法、行政执法、依法治市、戒毒人员管理、法律援助、人民调解、社区矫正和安置帮教。</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476.82</w:t>
      </w:r>
      <w:r>
        <w:rPr>
          <w:rFonts w:hint="eastAsia" w:ascii="仿宋" w:hAnsi="仿宋" w:eastAsia="仿宋" w:cs="仿宋"/>
          <w:bCs/>
          <w:sz w:val="28"/>
          <w:szCs w:val="28"/>
        </w:rPr>
        <w:t>万元，全部用于专项工作，专项资没有被挪用、挤占，全部按进度支付到位。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1"/>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为加强单位资金使用效率，落实好财务管理制度，我局成立有财务工作领导小组，在资金使用审批上坚持局党组集体研究，纪检部门全程跟踪，分管副局长一支笔签字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在专项资金的使用上，根据专项工作不同要求，确定项目资金负责人，局机关专项支出由</w:t>
      </w:r>
      <w:r>
        <w:rPr>
          <w:rFonts w:hint="eastAsia" w:ascii="仿宋" w:hAnsi="仿宋" w:eastAsia="仿宋" w:cs="仿宋"/>
          <w:bCs/>
          <w:sz w:val="28"/>
          <w:szCs w:val="28"/>
          <w:lang w:eastAsia="zh-CN"/>
        </w:rPr>
        <w:t>装备财务科</w:t>
      </w:r>
      <w:r>
        <w:rPr>
          <w:rFonts w:hint="eastAsia" w:ascii="仿宋" w:hAnsi="仿宋" w:eastAsia="仿宋" w:cs="仿宋"/>
          <w:bCs/>
          <w:sz w:val="28"/>
          <w:szCs w:val="28"/>
        </w:rPr>
        <w:t>科长负责管理，二级机构专项资金的使用由机构主要负责人管理实施。局机关负责监督全部专项资金的管理使用，在保障各项工作有序开展的同时，</w:t>
      </w:r>
      <w:r>
        <w:rPr>
          <w:rFonts w:hint="eastAsia" w:ascii="仿宋" w:hAnsi="仿宋" w:eastAsia="仿宋" w:cs="仿宋"/>
          <w:bCs/>
          <w:sz w:val="28"/>
          <w:szCs w:val="28"/>
          <w:lang w:eastAsia="zh-CN"/>
        </w:rPr>
        <w:t>提高资金的使用效益</w:t>
      </w:r>
      <w:r>
        <w:rPr>
          <w:rFonts w:hint="eastAsia" w:ascii="仿宋" w:hAnsi="仿宋" w:eastAsia="仿宋" w:cs="仿宋"/>
          <w:bCs/>
          <w:sz w:val="28"/>
          <w:szCs w:val="28"/>
        </w:rPr>
        <w:t>。</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四、部门整体支出绩效情况</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bCs/>
          <w:sz w:val="28"/>
          <w:szCs w:val="28"/>
          <w:lang w:val="en-US" w:eastAsia="zh-CN"/>
        </w:rPr>
        <w:t>2021年，</w:t>
      </w:r>
      <w:r>
        <w:rPr>
          <w:rFonts w:hint="eastAsia" w:ascii="仿宋" w:hAnsi="仿宋" w:eastAsia="仿宋" w:cs="仿宋"/>
          <w:color w:val="auto"/>
          <w:sz w:val="28"/>
          <w:szCs w:val="28"/>
        </w:rPr>
        <w:t>全市司法行政系统在省司法厅、市委、市政府的坚强领导下，在市委政法委的具体指导下，坚持以习近平新时代中国特色社会主义思想为指导，坚持党对司法行政工作的绝对领导，围绕中心服务大局，全力推进法治岳阳、法治政府和平安岳阳建设，持续巩固深化政法队伍教育整顿成果，扎实抓好干部队伍外树形象内强素质，全力以赴战疫情、防风险、护稳定、促发展，取得了较好的成绩。</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及时进行了拨付；不存在截留或滞留专项资金情况；本年财政预算资金结余较小，较上年结余大幅减少；三公经费总额和财政拨款支出三公经费总体控制较好。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560" w:lineRule="exact"/>
        <w:ind w:firstLine="560" w:firstLineChars="200"/>
        <w:rPr>
          <w:rFonts w:hint="eastAsia" w:ascii="仿宋" w:hAnsi="仿宋" w:eastAsia="仿宋" w:cs="仿宋"/>
          <w:color w:val="auto"/>
          <w:sz w:val="32"/>
          <w:szCs w:val="32"/>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2021年全市共受理法援案件3533件，省市重点民生实事法律援助项目完成率达135.88%，受理12348公共法律服务热线咨询服务19122人次，现场接待来访咨询3650余人次，岳阳市法援中心、岳阳楼区法援中心、临湘市法援中心、华容县法援中心获评湖南省法律援助案件质量评估优秀单位。加强村级人民调解组织建设，充分发挥基层人民调解员队伍作用，全年</w:t>
      </w:r>
      <w:r>
        <w:rPr>
          <w:rFonts w:hint="eastAsia" w:ascii="仿宋" w:hAnsi="仿宋" w:eastAsia="仿宋" w:cs="仿宋"/>
          <w:bCs/>
          <w:sz w:val="28"/>
          <w:szCs w:val="28"/>
          <w:lang w:val="zh-CN"/>
        </w:rPr>
        <w:t>共调解矛盾纠纷</w:t>
      </w:r>
      <w:r>
        <w:rPr>
          <w:rFonts w:hint="eastAsia" w:ascii="仿宋" w:hAnsi="仿宋" w:eastAsia="仿宋" w:cs="仿宋"/>
          <w:bCs/>
          <w:sz w:val="28"/>
          <w:szCs w:val="28"/>
        </w:rPr>
        <w:t>12482</w:t>
      </w:r>
      <w:r>
        <w:rPr>
          <w:rFonts w:hint="eastAsia" w:ascii="仿宋" w:hAnsi="仿宋" w:eastAsia="仿宋" w:cs="仿宋"/>
          <w:bCs/>
          <w:sz w:val="28"/>
          <w:szCs w:val="28"/>
          <w:lang w:val="zh-CN"/>
        </w:rPr>
        <w:t>件，成功化解</w:t>
      </w:r>
      <w:r>
        <w:rPr>
          <w:rFonts w:hint="eastAsia" w:ascii="仿宋" w:hAnsi="仿宋" w:eastAsia="仿宋" w:cs="仿宋"/>
          <w:bCs/>
          <w:sz w:val="28"/>
          <w:szCs w:val="28"/>
        </w:rPr>
        <w:t>12238</w:t>
      </w:r>
      <w:r>
        <w:rPr>
          <w:rFonts w:hint="eastAsia" w:ascii="仿宋" w:hAnsi="仿宋" w:eastAsia="仿宋" w:cs="仿宋"/>
          <w:bCs/>
          <w:sz w:val="28"/>
          <w:szCs w:val="28"/>
          <w:lang w:val="zh-CN"/>
        </w:rPr>
        <w:t>件，</w:t>
      </w:r>
      <w:r>
        <w:rPr>
          <w:rFonts w:hint="eastAsia" w:ascii="仿宋" w:hAnsi="仿宋" w:eastAsia="仿宋" w:cs="仿宋"/>
          <w:bCs/>
          <w:sz w:val="28"/>
          <w:szCs w:val="28"/>
        </w:rPr>
        <w:t>调解成功率达90%以上，有效预防化解社会矛盾纠纷。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五、存在的主要问题</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六、改进措施和有关建议</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2FE2C"/>
    <w:multiLevelType w:val="singleLevel"/>
    <w:tmpl w:val="6502F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3394"/>
    <w:rsid w:val="7C7E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2022-09-28T09:09:00Z</dcterms:created>
  <dc:creator>K</dc:creator>
  <cp:lastModifiedBy>K</cp:lastModifiedBy>
  <dcterms:modified xsi:type="dcterms:W3CDTF">2022-09-28T09:10:34Z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F0C8BE93B39040EBAA96A088B286FE5A</vt:lpwstr>
  </property>
</Properties>
</file>