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岳阳市司法局项目支出</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岳阳市司法局</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   </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1048"/>
        <w:gridCol w:w="1473"/>
        <w:gridCol w:w="22"/>
        <w:gridCol w:w="391"/>
        <w:gridCol w:w="682"/>
        <w:gridCol w:w="302"/>
        <w:gridCol w:w="670"/>
        <w:gridCol w:w="409"/>
        <w:gridCol w:w="141"/>
        <w:gridCol w:w="1058"/>
        <w:gridCol w:w="102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616" w:type="dxa"/>
            <w:gridSpan w:val="5"/>
            <w:vAlign w:val="center"/>
          </w:tcPr>
          <w:p>
            <w:pPr>
              <w:rPr>
                <w:rFonts w:hint="default" w:eastAsia="仿宋_GB2312"/>
                <w:sz w:val="24"/>
                <w:lang w:val="en-US" w:eastAsia="zh-CN"/>
              </w:rPr>
            </w:pPr>
            <w:r>
              <w:rPr>
                <w:rFonts w:hint="eastAsia" w:eastAsia="仿宋_GB2312"/>
                <w:sz w:val="24"/>
                <w:lang w:val="en-US" w:eastAsia="zh-CN"/>
              </w:rPr>
              <w:t>李峰</w:t>
            </w:r>
          </w:p>
        </w:tc>
        <w:tc>
          <w:tcPr>
            <w:tcW w:w="972"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8216492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616" w:type="dxa"/>
            <w:gridSpan w:val="5"/>
            <w:vAlign w:val="center"/>
          </w:tcPr>
          <w:p>
            <w:pPr>
              <w:rPr>
                <w:rFonts w:hint="default" w:eastAsia="仿宋_GB2312"/>
                <w:sz w:val="24"/>
                <w:lang w:val="en-US" w:eastAsia="zh-CN"/>
              </w:rPr>
            </w:pPr>
            <w:r>
              <w:rPr>
                <w:rFonts w:hint="eastAsia" w:eastAsia="仿宋_GB2312"/>
                <w:sz w:val="24"/>
                <w:lang w:val="en-US" w:eastAsia="zh-CN"/>
              </w:rPr>
              <w:t>岳阳市人大8号楼</w:t>
            </w:r>
          </w:p>
        </w:tc>
        <w:tc>
          <w:tcPr>
            <w:tcW w:w="972"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仿宋_GB2312"/>
                <w:sz w:val="24"/>
                <w:lang w:val="en-US" w:eastAsia="zh-CN"/>
              </w:rPr>
            </w:pPr>
            <w:r>
              <w:rPr>
                <w:rFonts w:hint="eastAsia" w:eastAsia="仿宋_GB2312"/>
                <w:sz w:val="24"/>
                <w:lang w:val="en-US" w:eastAsia="zh-CN"/>
              </w:rPr>
              <w:t>2021.1.1-2021.12.31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1048"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1009.52</w:t>
            </w:r>
          </w:p>
        </w:tc>
        <w:tc>
          <w:tcPr>
            <w:tcW w:w="1473"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1095"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1009.52</w:t>
            </w:r>
          </w:p>
        </w:tc>
        <w:tc>
          <w:tcPr>
            <w:tcW w:w="1381"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1199"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1009.52</w:t>
            </w:r>
          </w:p>
        </w:tc>
        <w:tc>
          <w:tcPr>
            <w:tcW w:w="1029"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1048" w:type="dxa"/>
            <w:tcBorders>
              <w:bottom w:val="single" w:color="auto" w:sz="4" w:space="0"/>
            </w:tcBorders>
            <w:vAlign w:val="center"/>
          </w:tcPr>
          <w:p>
            <w:pPr>
              <w:rPr>
                <w:rFonts w:eastAsia="仿宋_GB2312"/>
                <w:spacing w:val="-6"/>
                <w:sz w:val="24"/>
              </w:rPr>
            </w:pPr>
          </w:p>
        </w:tc>
        <w:tc>
          <w:tcPr>
            <w:tcW w:w="1473"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1095" w:type="dxa"/>
            <w:gridSpan w:val="3"/>
            <w:tcBorders>
              <w:bottom w:val="single" w:color="auto" w:sz="4" w:space="0"/>
            </w:tcBorders>
            <w:vAlign w:val="center"/>
          </w:tcPr>
          <w:p>
            <w:pPr>
              <w:rPr>
                <w:rFonts w:eastAsia="仿宋_GB2312"/>
                <w:spacing w:val="-6"/>
                <w:sz w:val="24"/>
              </w:rPr>
            </w:pPr>
          </w:p>
        </w:tc>
        <w:tc>
          <w:tcPr>
            <w:tcW w:w="1381"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1199" w:type="dxa"/>
            <w:gridSpan w:val="2"/>
            <w:tcBorders>
              <w:bottom w:val="single" w:color="auto" w:sz="4" w:space="0"/>
            </w:tcBorders>
            <w:vAlign w:val="center"/>
          </w:tcPr>
          <w:p>
            <w:pPr>
              <w:rPr>
                <w:rFonts w:eastAsia="仿宋_GB2312"/>
                <w:spacing w:val="-6"/>
                <w:sz w:val="24"/>
              </w:rPr>
            </w:pPr>
          </w:p>
        </w:tc>
        <w:tc>
          <w:tcPr>
            <w:tcW w:w="1029"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048" w:type="dxa"/>
            <w:tcBorders>
              <w:bottom w:val="single" w:color="auto" w:sz="4" w:space="0"/>
            </w:tcBorders>
            <w:vAlign w:val="center"/>
          </w:tcPr>
          <w:p>
            <w:pPr>
              <w:rPr>
                <w:rFonts w:eastAsia="仿宋_GB2312"/>
                <w:sz w:val="24"/>
              </w:rPr>
            </w:pPr>
          </w:p>
        </w:tc>
        <w:tc>
          <w:tcPr>
            <w:tcW w:w="1473" w:type="dxa"/>
            <w:tcBorders>
              <w:bottom w:val="single" w:color="auto" w:sz="4" w:space="0"/>
            </w:tcBorders>
            <w:vAlign w:val="center"/>
          </w:tcPr>
          <w:p>
            <w:pPr>
              <w:rPr>
                <w:rFonts w:eastAsia="仿宋_GB2312"/>
                <w:sz w:val="24"/>
              </w:rPr>
            </w:pPr>
            <w:r>
              <w:rPr>
                <w:rFonts w:hint="eastAsia" w:eastAsia="仿宋_GB2312"/>
                <w:sz w:val="24"/>
              </w:rPr>
              <w:t>省财政</w:t>
            </w:r>
          </w:p>
        </w:tc>
        <w:tc>
          <w:tcPr>
            <w:tcW w:w="1095" w:type="dxa"/>
            <w:gridSpan w:val="3"/>
            <w:tcBorders>
              <w:bottom w:val="single" w:color="auto" w:sz="4" w:space="0"/>
            </w:tcBorders>
            <w:vAlign w:val="center"/>
          </w:tcPr>
          <w:p>
            <w:pPr>
              <w:rPr>
                <w:rFonts w:eastAsia="仿宋_GB2312"/>
                <w:sz w:val="24"/>
              </w:rPr>
            </w:pPr>
          </w:p>
        </w:tc>
        <w:tc>
          <w:tcPr>
            <w:tcW w:w="1381"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1199" w:type="dxa"/>
            <w:gridSpan w:val="2"/>
            <w:tcBorders>
              <w:bottom w:val="single" w:color="auto" w:sz="4" w:space="0"/>
            </w:tcBorders>
            <w:vAlign w:val="center"/>
          </w:tcPr>
          <w:p>
            <w:pPr>
              <w:rPr>
                <w:rFonts w:eastAsia="仿宋_GB2312"/>
                <w:sz w:val="24"/>
              </w:rPr>
            </w:pPr>
          </w:p>
        </w:tc>
        <w:tc>
          <w:tcPr>
            <w:tcW w:w="1029"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048"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1009.52</w:t>
            </w:r>
          </w:p>
        </w:tc>
        <w:tc>
          <w:tcPr>
            <w:tcW w:w="1473" w:type="dxa"/>
            <w:tcBorders>
              <w:bottom w:val="single" w:color="auto" w:sz="4" w:space="0"/>
            </w:tcBorders>
            <w:vAlign w:val="center"/>
          </w:tcPr>
          <w:p>
            <w:pPr>
              <w:rPr>
                <w:rFonts w:eastAsia="仿宋_GB2312"/>
                <w:sz w:val="24"/>
              </w:rPr>
            </w:pPr>
            <w:r>
              <w:rPr>
                <w:rFonts w:hint="eastAsia" w:eastAsia="仿宋_GB2312"/>
                <w:sz w:val="24"/>
              </w:rPr>
              <w:t>市财政</w:t>
            </w:r>
          </w:p>
        </w:tc>
        <w:tc>
          <w:tcPr>
            <w:tcW w:w="109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1009.52</w:t>
            </w:r>
          </w:p>
        </w:tc>
        <w:tc>
          <w:tcPr>
            <w:tcW w:w="1381"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1199"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1009.52</w:t>
            </w:r>
          </w:p>
        </w:tc>
        <w:tc>
          <w:tcPr>
            <w:tcW w:w="1029"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048" w:type="dxa"/>
            <w:tcBorders>
              <w:bottom w:val="single" w:color="auto" w:sz="4" w:space="0"/>
            </w:tcBorders>
            <w:vAlign w:val="center"/>
          </w:tcPr>
          <w:p>
            <w:pPr>
              <w:rPr>
                <w:rFonts w:eastAsia="仿宋_GB2312"/>
                <w:sz w:val="24"/>
              </w:rPr>
            </w:pPr>
          </w:p>
        </w:tc>
        <w:tc>
          <w:tcPr>
            <w:tcW w:w="1473"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1095" w:type="dxa"/>
            <w:gridSpan w:val="3"/>
            <w:tcBorders>
              <w:bottom w:val="single" w:color="auto" w:sz="4" w:space="0"/>
            </w:tcBorders>
            <w:vAlign w:val="center"/>
          </w:tcPr>
          <w:p>
            <w:pPr>
              <w:rPr>
                <w:rFonts w:eastAsia="仿宋_GB2312"/>
                <w:sz w:val="24"/>
              </w:rPr>
            </w:pPr>
          </w:p>
        </w:tc>
        <w:tc>
          <w:tcPr>
            <w:tcW w:w="1381"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1199" w:type="dxa"/>
            <w:gridSpan w:val="2"/>
            <w:tcBorders>
              <w:bottom w:val="single" w:color="auto" w:sz="4" w:space="0"/>
            </w:tcBorders>
            <w:vAlign w:val="center"/>
          </w:tcPr>
          <w:p>
            <w:pPr>
              <w:rPr>
                <w:rFonts w:eastAsia="仿宋_GB2312"/>
                <w:sz w:val="24"/>
              </w:rPr>
            </w:pPr>
          </w:p>
        </w:tc>
        <w:tc>
          <w:tcPr>
            <w:tcW w:w="102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048" w:type="dxa"/>
            <w:tcBorders>
              <w:bottom w:val="single" w:color="auto" w:sz="4" w:space="0"/>
            </w:tcBorders>
            <w:vAlign w:val="center"/>
          </w:tcPr>
          <w:p>
            <w:pPr>
              <w:rPr>
                <w:rFonts w:eastAsia="仿宋_GB2312"/>
                <w:sz w:val="24"/>
              </w:rPr>
            </w:pPr>
          </w:p>
        </w:tc>
        <w:tc>
          <w:tcPr>
            <w:tcW w:w="1473" w:type="dxa"/>
            <w:tcBorders>
              <w:bottom w:val="single" w:color="auto" w:sz="4" w:space="0"/>
            </w:tcBorders>
            <w:vAlign w:val="center"/>
          </w:tcPr>
          <w:p>
            <w:pPr>
              <w:rPr>
                <w:rFonts w:eastAsia="仿宋_GB2312"/>
                <w:sz w:val="24"/>
              </w:rPr>
            </w:pPr>
            <w:r>
              <w:rPr>
                <w:rFonts w:hint="eastAsia" w:eastAsia="仿宋_GB2312"/>
                <w:sz w:val="24"/>
              </w:rPr>
              <w:t>其它</w:t>
            </w:r>
          </w:p>
        </w:tc>
        <w:tc>
          <w:tcPr>
            <w:tcW w:w="1095" w:type="dxa"/>
            <w:gridSpan w:val="3"/>
            <w:tcBorders>
              <w:bottom w:val="single" w:color="auto" w:sz="4" w:space="0"/>
            </w:tcBorders>
            <w:vAlign w:val="center"/>
          </w:tcPr>
          <w:p>
            <w:pPr>
              <w:rPr>
                <w:rFonts w:eastAsia="仿宋_GB2312"/>
                <w:sz w:val="24"/>
              </w:rPr>
            </w:pPr>
          </w:p>
        </w:tc>
        <w:tc>
          <w:tcPr>
            <w:tcW w:w="1381"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1199" w:type="dxa"/>
            <w:gridSpan w:val="2"/>
            <w:tcBorders>
              <w:bottom w:val="single" w:color="auto" w:sz="4" w:space="0"/>
            </w:tcBorders>
            <w:vAlign w:val="center"/>
          </w:tcPr>
          <w:p>
            <w:pPr>
              <w:rPr>
                <w:rFonts w:eastAsia="仿宋_GB2312"/>
                <w:sz w:val="24"/>
              </w:rPr>
            </w:pPr>
          </w:p>
        </w:tc>
        <w:tc>
          <w:tcPr>
            <w:tcW w:w="1029"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09"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495"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709"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一般商品和服务支出</w:t>
            </w:r>
          </w:p>
        </w:tc>
        <w:tc>
          <w:tcPr>
            <w:tcW w:w="149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874.11</w:t>
            </w:r>
          </w:p>
        </w:tc>
        <w:tc>
          <w:tcPr>
            <w:tcW w:w="2595" w:type="dxa"/>
            <w:gridSpan w:val="6"/>
            <w:tcBorders>
              <w:bottom w:val="single" w:color="auto" w:sz="4" w:space="0"/>
            </w:tcBorders>
            <w:vAlign w:val="center"/>
          </w:tcPr>
          <w:p>
            <w:pPr>
              <w:jc w:val="center"/>
              <w:rPr>
                <w:rFonts w:hint="default" w:eastAsia="仿宋_GB2312"/>
                <w:sz w:val="24"/>
                <w:lang w:val="en-US" w:eastAsia="zh-CN"/>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09" w:type="dxa"/>
            <w:gridSpan w:val="3"/>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rPr>
              <w:t>案件补贴</w:t>
            </w:r>
          </w:p>
        </w:tc>
        <w:tc>
          <w:tcPr>
            <w:tcW w:w="1495" w:type="dxa"/>
            <w:gridSpan w:val="2"/>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rPr>
              <w:t>120.94</w:t>
            </w:r>
          </w:p>
        </w:tc>
        <w:tc>
          <w:tcPr>
            <w:tcW w:w="2595" w:type="dxa"/>
            <w:gridSpan w:val="6"/>
            <w:tcBorders>
              <w:bottom w:val="single" w:color="auto" w:sz="4" w:space="0"/>
            </w:tcBorders>
            <w:vAlign w:val="center"/>
          </w:tcPr>
          <w:p>
            <w:pPr>
              <w:jc w:val="center"/>
              <w:rPr>
                <w:rFonts w:hint="default" w:eastAsia="仿宋_GB2312"/>
                <w:sz w:val="24"/>
                <w:lang w:val="en-US" w:eastAsia="zh-CN"/>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09" w:type="dxa"/>
            <w:gridSpan w:val="3"/>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rPr>
              <w:t>值班补贴</w:t>
            </w:r>
          </w:p>
        </w:tc>
        <w:tc>
          <w:tcPr>
            <w:tcW w:w="1495" w:type="dxa"/>
            <w:gridSpan w:val="2"/>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rPr>
              <w:t>5.38</w:t>
            </w: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09" w:type="dxa"/>
            <w:gridSpan w:val="3"/>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rPr>
              <w:t>宣传费</w:t>
            </w:r>
          </w:p>
        </w:tc>
        <w:tc>
          <w:tcPr>
            <w:tcW w:w="1495" w:type="dxa"/>
            <w:gridSpan w:val="2"/>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rPr>
              <w:t>6.71</w:t>
            </w: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09" w:type="dxa"/>
            <w:gridSpan w:val="3"/>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rPr>
              <w:t>业务培训</w:t>
            </w:r>
          </w:p>
        </w:tc>
        <w:tc>
          <w:tcPr>
            <w:tcW w:w="1495" w:type="dxa"/>
            <w:gridSpan w:val="2"/>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sz w:val="24"/>
              </w:rPr>
              <w:t>2.38</w:t>
            </w: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09" w:type="dxa"/>
            <w:gridSpan w:val="3"/>
            <w:tcBorders>
              <w:bottom w:val="single" w:color="auto" w:sz="4" w:space="0"/>
            </w:tcBorders>
            <w:vAlign w:val="center"/>
          </w:tcPr>
          <w:p>
            <w:pPr>
              <w:jc w:val="center"/>
              <w:rPr>
                <w:rFonts w:eastAsia="仿宋_GB2312"/>
                <w:sz w:val="24"/>
              </w:rPr>
            </w:pPr>
          </w:p>
        </w:tc>
        <w:tc>
          <w:tcPr>
            <w:tcW w:w="1495"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09" w:type="dxa"/>
            <w:gridSpan w:val="3"/>
            <w:tcBorders>
              <w:bottom w:val="single" w:color="auto" w:sz="4" w:space="0"/>
            </w:tcBorders>
            <w:vAlign w:val="center"/>
          </w:tcPr>
          <w:p>
            <w:pPr>
              <w:jc w:val="center"/>
              <w:rPr>
                <w:rFonts w:eastAsia="仿宋_GB2312"/>
                <w:sz w:val="24"/>
              </w:rPr>
            </w:pPr>
          </w:p>
        </w:tc>
        <w:tc>
          <w:tcPr>
            <w:tcW w:w="1495"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09"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495"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1009.52</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目标1：法治建设工作不断深</w:t>
            </w:r>
            <w:r>
              <w:rPr>
                <w:rFonts w:hint="eastAsia" w:ascii="仿宋_GB2312" w:hAnsi="仿宋_GB2312" w:eastAsia="仿宋_GB2312" w:cs="仿宋_GB2312"/>
                <w:color w:val="000000"/>
                <w:sz w:val="24"/>
                <w:lang w:eastAsia="zh-CN"/>
              </w:rPr>
              <w:t>化</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目标2：特殊人群</w:t>
            </w:r>
            <w:r>
              <w:rPr>
                <w:rFonts w:hint="eastAsia" w:ascii="仿宋_GB2312" w:hAnsi="仿宋_GB2312" w:eastAsia="仿宋_GB2312" w:cs="仿宋_GB2312"/>
                <w:color w:val="000000"/>
                <w:sz w:val="24"/>
                <w:lang w:eastAsia="zh-CN"/>
              </w:rPr>
              <w:t>管控不断强化</w:t>
            </w:r>
          </w:p>
          <w:p>
            <w:pPr>
              <w:spacing w:line="240" w:lineRule="exact"/>
              <w:jc w:val="left"/>
              <w:rPr>
                <w:rFonts w:eastAsia="仿宋_GB2312"/>
                <w:b/>
                <w:sz w:val="24"/>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法律服务不断优化</w:t>
            </w:r>
          </w:p>
        </w:tc>
        <w:tc>
          <w:tcPr>
            <w:tcW w:w="2783" w:type="dxa"/>
            <w:gridSpan w:val="3"/>
            <w:tcBorders>
              <w:bottom w:val="single" w:color="auto" w:sz="4" w:space="0"/>
            </w:tcBorders>
            <w:vAlign w:val="center"/>
          </w:tcPr>
          <w:p>
            <w:pPr>
              <w:numPr>
                <w:ilvl w:val="0"/>
                <w:numId w:val="2"/>
              </w:num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组织开展“12·4”宪法宣传周系列活动，通过集中宣传和线上线下宣传等多种形式，全市开展法律宣传活动1296场次，其中《华容县开展农村法治宣传活动》入选司法部普法案例库。组织各县市区领导干部参加处级干部学法考试，参考率、通过率达到100%。</w:t>
            </w:r>
          </w:p>
          <w:p>
            <w:pPr>
              <w:numPr>
                <w:ilvl w:val="0"/>
                <w:numId w:val="0"/>
              </w:numPr>
              <w:autoSpaceDN w:val="0"/>
              <w:spacing w:line="320" w:lineRule="exact"/>
              <w:jc w:val="left"/>
              <w:textAlignment w:val="center"/>
              <w:rPr>
                <w:rFonts w:hint="eastAsia" w:eastAsia="仿宋_GB2312"/>
                <w:sz w:val="24"/>
                <w:lang w:val="en-US" w:eastAsia="zh-CN"/>
              </w:rPr>
            </w:pPr>
            <w:r>
              <w:rPr>
                <w:rFonts w:hint="eastAsia" w:ascii="仿宋" w:hAnsi="仿宋" w:eastAsia="仿宋" w:cs="仿宋"/>
                <w:color w:val="000000"/>
                <w:sz w:val="24"/>
                <w:szCs w:val="24"/>
                <w:lang w:val="en-US" w:eastAsia="zh-CN"/>
              </w:rPr>
              <w:t>2、全年社区矫正对象和安置帮教人员实现了“零脱管、零漏管、零重大恶性犯罪”，重新犯罪率控制在0.2%以下坚持严格规范文明执法，市强制隔离戒毒所实现连续20年“六无”。</w:t>
            </w:r>
          </w:p>
          <w:p>
            <w:pPr>
              <w:jc w:val="left"/>
              <w:rPr>
                <w:rFonts w:eastAsia="仿宋_GB2312"/>
                <w:b/>
                <w:sz w:val="24"/>
              </w:rPr>
            </w:pPr>
            <w:r>
              <w:rPr>
                <w:rFonts w:hint="eastAsia" w:eastAsia="仿宋_GB2312"/>
                <w:sz w:val="24"/>
                <w:lang w:val="en-US" w:eastAsia="zh-CN"/>
              </w:rPr>
              <w:t>3</w:t>
            </w:r>
            <w:r>
              <w:rPr>
                <w:rFonts w:hint="eastAsia" w:ascii="仿宋" w:hAnsi="仿宋" w:eastAsia="仿宋" w:cs="仿宋"/>
                <w:color w:val="000000"/>
                <w:sz w:val="24"/>
                <w:szCs w:val="24"/>
                <w:lang w:val="en-US" w:eastAsia="zh-CN"/>
              </w:rPr>
              <w:t>.法律援助案件受理数达455件，咨询人次达3000余人次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1237" w:type="dxa"/>
            <w:gridSpan w:val="2"/>
            <w:vAlign w:val="center"/>
          </w:tcPr>
          <w:p>
            <w:pPr>
              <w:jc w:val="center"/>
              <w:rPr>
                <w:rFonts w:eastAsia="仿宋_GB2312"/>
                <w:sz w:val="24"/>
              </w:rPr>
            </w:pPr>
            <w:r>
              <w:rPr>
                <w:rFonts w:hint="eastAsia" w:eastAsia="仿宋_GB2312"/>
                <w:sz w:val="24"/>
              </w:rPr>
              <w:t>一级指标</w:t>
            </w:r>
          </w:p>
        </w:tc>
        <w:tc>
          <w:tcPr>
            <w:tcW w:w="1495"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restart"/>
            <w:vAlign w:val="center"/>
          </w:tcPr>
          <w:p>
            <w:pPr>
              <w:jc w:val="center"/>
              <w:rPr>
                <w:rFonts w:eastAsia="仿宋_GB2312"/>
                <w:sz w:val="24"/>
              </w:rPr>
            </w:pPr>
            <w:r>
              <w:rPr>
                <w:rFonts w:hint="eastAsia" w:eastAsia="仿宋_GB2312"/>
                <w:sz w:val="24"/>
              </w:rPr>
              <w:t>项目产出指标</w:t>
            </w:r>
          </w:p>
        </w:tc>
        <w:tc>
          <w:tcPr>
            <w:tcW w:w="1495"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spacing w:line="36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社区矫正对象无脱管漏管</w:t>
            </w:r>
          </w:p>
        </w:tc>
        <w:tc>
          <w:tcPr>
            <w:tcW w:w="1220" w:type="dxa"/>
            <w:gridSpan w:val="3"/>
            <w:tcBorders>
              <w:bottom w:val="single" w:color="auto" w:sz="4" w:space="0"/>
            </w:tcBorders>
            <w:vAlign w:val="center"/>
          </w:tcPr>
          <w:p>
            <w:pPr>
              <w:spacing w:line="36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0</w:t>
            </w:r>
          </w:p>
        </w:tc>
        <w:tc>
          <w:tcPr>
            <w:tcW w:w="2783" w:type="dxa"/>
            <w:gridSpan w:val="3"/>
            <w:tcBorders>
              <w:bottom w:val="single" w:color="auto" w:sz="4" w:space="0"/>
            </w:tcBorders>
            <w:vAlign w:val="center"/>
          </w:tcPr>
          <w:p>
            <w:pPr>
              <w:spacing w:line="36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脱管漏管0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咨询人次</w:t>
            </w:r>
          </w:p>
        </w:tc>
        <w:tc>
          <w:tcPr>
            <w:tcW w:w="122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2000人次</w:t>
            </w:r>
          </w:p>
        </w:tc>
        <w:tc>
          <w:tcPr>
            <w:tcW w:w="2783"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rPr>
              <w:t>3000余人次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社会矛盾有效化解</w:t>
            </w:r>
          </w:p>
        </w:tc>
        <w:tc>
          <w:tcPr>
            <w:tcW w:w="122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调解成功率达90%以上</w:t>
            </w:r>
          </w:p>
        </w:tc>
        <w:tc>
          <w:tcPr>
            <w:tcW w:w="2783"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调解成功率达90%以上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ascii="Times New Roman" w:hAnsi="Times New Roman" w:eastAsia="仿宋_GB2312" w:cs="Times New Roman"/>
                <w:kern w:val="2"/>
                <w:sz w:val="13"/>
                <w:szCs w:val="13"/>
                <w:lang w:val="en-US" w:eastAsia="zh-CN" w:bidi="ar-SA"/>
              </w:rPr>
            </w:pPr>
            <w:r>
              <w:rPr>
                <w:rFonts w:hint="eastAsia" w:ascii="仿宋_GB2312" w:hAnsi="仿宋_GB2312" w:eastAsia="仿宋_GB2312" w:cs="仿宋_GB2312"/>
                <w:color w:val="000000"/>
                <w:sz w:val="13"/>
                <w:szCs w:val="13"/>
              </w:rPr>
              <w:t>法律援助案件质量</w:t>
            </w:r>
          </w:p>
        </w:tc>
        <w:tc>
          <w:tcPr>
            <w:tcW w:w="1220" w:type="dxa"/>
            <w:gridSpan w:val="3"/>
            <w:tcBorders>
              <w:bottom w:val="single" w:color="auto" w:sz="4" w:space="0"/>
            </w:tcBorders>
            <w:vAlign w:val="center"/>
          </w:tcPr>
          <w:p>
            <w:pPr>
              <w:jc w:val="center"/>
              <w:rPr>
                <w:rFonts w:ascii="Times New Roman" w:hAnsi="Times New Roman" w:eastAsia="仿宋_GB2312" w:cs="Times New Roman"/>
                <w:kern w:val="2"/>
                <w:sz w:val="15"/>
                <w:szCs w:val="15"/>
                <w:lang w:val="en-US" w:eastAsia="zh-CN" w:bidi="ar-SA"/>
              </w:rPr>
            </w:pPr>
            <w:r>
              <w:rPr>
                <w:rFonts w:hint="eastAsia" w:ascii="仿宋_GB2312" w:hAnsi="仿宋_GB2312" w:eastAsia="仿宋_GB2312" w:cs="仿宋_GB2312"/>
                <w:color w:val="000000"/>
                <w:sz w:val="15"/>
                <w:szCs w:val="15"/>
              </w:rPr>
              <w:t>优秀，良好，合格，不合格</w:t>
            </w:r>
          </w:p>
        </w:tc>
        <w:tc>
          <w:tcPr>
            <w:tcW w:w="2783" w:type="dxa"/>
            <w:gridSpan w:val="3"/>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00000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000000"/>
                <w:sz w:val="16"/>
                <w:szCs w:val="16"/>
              </w:rPr>
              <w:t>案件指派时间</w:t>
            </w:r>
          </w:p>
        </w:tc>
        <w:tc>
          <w:tcPr>
            <w:tcW w:w="1220" w:type="dxa"/>
            <w:gridSpan w:val="3"/>
            <w:tcBorders>
              <w:bottom w:val="single" w:color="auto" w:sz="4" w:space="0"/>
            </w:tcBorders>
            <w:vAlign w:val="center"/>
          </w:tcPr>
          <w:p>
            <w:pPr>
              <w:jc w:val="center"/>
              <w:rPr>
                <w:rFonts w:hint="default" w:ascii="Times New Roman" w:hAnsi="Times New Roman" w:eastAsia="仿宋_GB2312" w:cs="Times New Roman"/>
                <w:kern w:val="2"/>
                <w:sz w:val="16"/>
                <w:szCs w:val="16"/>
                <w:lang w:val="en-US" w:eastAsia="zh-CN" w:bidi="ar-SA"/>
              </w:rPr>
            </w:pPr>
            <w:r>
              <w:rPr>
                <w:rFonts w:hint="eastAsia" w:ascii="仿宋_GB2312" w:hAnsi="仿宋_GB2312" w:eastAsia="仿宋_GB2312" w:cs="仿宋_GB2312"/>
                <w:color w:val="000000"/>
                <w:sz w:val="16"/>
                <w:szCs w:val="16"/>
              </w:rPr>
              <w:t>接到申请3个工作日内</w:t>
            </w:r>
          </w:p>
        </w:tc>
        <w:tc>
          <w:tcPr>
            <w:tcW w:w="2783"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000000"/>
                <w:sz w:val="20"/>
                <w:szCs w:val="20"/>
              </w:rPr>
              <w:t>均在3日内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eastAsia="zh-CN"/>
              </w:rPr>
              <w:t>各项支出不超过年初预算</w:t>
            </w:r>
          </w:p>
        </w:tc>
        <w:tc>
          <w:tcPr>
            <w:tcW w:w="122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eastAsia="zh-CN"/>
              </w:rPr>
              <w:t>控制在预算之内</w:t>
            </w:r>
          </w:p>
        </w:tc>
        <w:tc>
          <w:tcPr>
            <w:tcW w:w="2783"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eastAsia="zh-CN"/>
              </w:rPr>
              <w:t>控制在预算之内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000000"/>
                <w:sz w:val="18"/>
                <w:szCs w:val="18"/>
              </w:rPr>
              <w:t>办案补贴/值班补贴标准</w:t>
            </w:r>
          </w:p>
        </w:tc>
        <w:tc>
          <w:tcPr>
            <w:tcW w:w="1220" w:type="dxa"/>
            <w:gridSpan w:val="3"/>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000000"/>
                <w:sz w:val="13"/>
                <w:szCs w:val="13"/>
              </w:rPr>
              <w:t>金额根据《湖南省法律援助经费管理办</w:t>
            </w:r>
            <w:r>
              <w:rPr>
                <w:rFonts w:hint="eastAsia" w:ascii="仿宋_GB2312" w:hAnsi="仿宋_GB2312" w:eastAsia="仿宋_GB2312" w:cs="仿宋_GB2312"/>
                <w:color w:val="000000"/>
                <w:sz w:val="16"/>
                <w:szCs w:val="16"/>
              </w:rPr>
              <w:t>法》确定</w:t>
            </w:r>
          </w:p>
        </w:tc>
        <w:tc>
          <w:tcPr>
            <w:tcW w:w="2783"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000000"/>
                <w:sz w:val="20"/>
                <w:szCs w:val="20"/>
              </w:rPr>
              <w:t>符合文件标准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restart"/>
            <w:vAlign w:val="center"/>
          </w:tcPr>
          <w:p>
            <w:pPr>
              <w:jc w:val="center"/>
              <w:rPr>
                <w:rFonts w:eastAsia="仿宋_GB2312"/>
                <w:sz w:val="24"/>
              </w:rPr>
            </w:pPr>
            <w:r>
              <w:rPr>
                <w:rFonts w:hint="eastAsia" w:eastAsia="仿宋_GB2312"/>
                <w:sz w:val="24"/>
              </w:rPr>
              <w:t>项目效益指标</w:t>
            </w:r>
          </w:p>
        </w:tc>
        <w:tc>
          <w:tcPr>
            <w:tcW w:w="1495"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反向促进经济发展</w:t>
            </w:r>
          </w:p>
        </w:tc>
        <w:tc>
          <w:tcPr>
            <w:tcW w:w="1220" w:type="dxa"/>
            <w:gridSpan w:val="3"/>
            <w:tcBorders>
              <w:bottom w:val="single" w:color="auto" w:sz="4" w:space="0"/>
            </w:tcBorders>
            <w:vAlign w:val="center"/>
          </w:tcPr>
          <w:p>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经济平稳发展</w:t>
            </w:r>
          </w:p>
        </w:tc>
        <w:tc>
          <w:tcPr>
            <w:tcW w:w="2783" w:type="dxa"/>
            <w:gridSpan w:val="3"/>
            <w:tcBorders>
              <w:bottom w:val="single" w:color="auto" w:sz="4" w:space="0"/>
            </w:tcBorders>
            <w:vAlign w:val="center"/>
          </w:tcPr>
          <w:p>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经济平稳发展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保障人民群众合法权益</w:t>
            </w:r>
          </w:p>
        </w:tc>
        <w:tc>
          <w:tcPr>
            <w:tcW w:w="1220" w:type="dxa"/>
            <w:gridSpan w:val="3"/>
            <w:tcBorders>
              <w:bottom w:val="single" w:color="auto" w:sz="4" w:space="0"/>
            </w:tcBorders>
            <w:vAlign w:val="center"/>
          </w:tcPr>
          <w:p>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得到保障</w:t>
            </w:r>
          </w:p>
        </w:tc>
        <w:tc>
          <w:tcPr>
            <w:tcW w:w="2783" w:type="dxa"/>
            <w:gridSpan w:val="3"/>
            <w:tcBorders>
              <w:bottom w:val="single" w:color="auto" w:sz="4" w:space="0"/>
            </w:tcBorders>
            <w:vAlign w:val="center"/>
          </w:tcPr>
          <w:p>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生态环境改善情况</w:t>
            </w:r>
          </w:p>
        </w:tc>
        <w:tc>
          <w:tcPr>
            <w:tcW w:w="1220" w:type="dxa"/>
            <w:gridSpan w:val="3"/>
            <w:tcBorders>
              <w:bottom w:val="single" w:color="auto" w:sz="4" w:space="0"/>
            </w:tcBorders>
            <w:vAlign w:val="center"/>
          </w:tcPr>
          <w:p>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有所改善</w:t>
            </w:r>
          </w:p>
        </w:tc>
        <w:tc>
          <w:tcPr>
            <w:tcW w:w="2783" w:type="dxa"/>
            <w:gridSpan w:val="3"/>
            <w:tcBorders>
              <w:bottom w:val="single" w:color="auto" w:sz="4" w:space="0"/>
            </w:tcBorders>
            <w:vAlign w:val="center"/>
          </w:tcPr>
          <w:p>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widowControl/>
              <w:spacing w:line="240" w:lineRule="exact"/>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受援人、咨询人满意程度</w:t>
            </w:r>
          </w:p>
        </w:tc>
        <w:tc>
          <w:tcPr>
            <w:tcW w:w="1220" w:type="dxa"/>
            <w:gridSpan w:val="3"/>
            <w:tcBorders>
              <w:bottom w:val="single" w:color="auto" w:sz="4" w:space="0"/>
            </w:tcBorders>
            <w:vAlign w:val="center"/>
          </w:tcPr>
          <w:p>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
                <w:sz w:val="24"/>
              </w:rPr>
              <w:t>≥95%</w:t>
            </w:r>
          </w:p>
        </w:tc>
        <w:tc>
          <w:tcPr>
            <w:tcW w:w="2783" w:type="dxa"/>
            <w:gridSpan w:val="3"/>
            <w:tcBorders>
              <w:bottom w:val="single" w:color="auto" w:sz="4" w:space="0"/>
            </w:tcBorders>
            <w:vAlign w:val="center"/>
          </w:tcPr>
          <w:p>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1237" w:type="dxa"/>
            <w:gridSpan w:val="2"/>
            <w:vMerge w:val="continue"/>
            <w:vAlign w:val="center"/>
          </w:tcPr>
          <w:p>
            <w:pPr>
              <w:jc w:val="center"/>
              <w:rPr>
                <w:rFonts w:eastAsia="仿宋_GB2312"/>
                <w:sz w:val="24"/>
              </w:rPr>
            </w:pPr>
          </w:p>
        </w:tc>
        <w:tc>
          <w:tcPr>
            <w:tcW w:w="1495"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09"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6873"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09"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6873" w:type="dxa"/>
            <w:gridSpan w:val="11"/>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9" w:type="dxa"/>
            <w:gridSpan w:val="3"/>
            <w:vAlign w:val="center"/>
          </w:tcPr>
          <w:p>
            <w:pPr>
              <w:jc w:val="center"/>
              <w:rPr>
                <w:rFonts w:eastAsia="仿宋_GB2312"/>
                <w:sz w:val="24"/>
              </w:rPr>
            </w:pPr>
            <w:r>
              <w:rPr>
                <w:rFonts w:hint="eastAsia" w:eastAsia="仿宋_GB2312"/>
                <w:sz w:val="24"/>
              </w:rPr>
              <w:t>姓名</w:t>
            </w:r>
          </w:p>
        </w:tc>
        <w:tc>
          <w:tcPr>
            <w:tcW w:w="1886"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9"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王可</w:t>
            </w:r>
          </w:p>
        </w:tc>
        <w:tc>
          <w:tcPr>
            <w:tcW w:w="1886"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副科长</w:t>
            </w:r>
          </w:p>
        </w:tc>
        <w:tc>
          <w:tcPr>
            <w:tcW w:w="2204"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岳阳市司法局</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9"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张艺云</w:t>
            </w:r>
          </w:p>
        </w:tc>
        <w:tc>
          <w:tcPr>
            <w:tcW w:w="1886"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科员</w:t>
            </w:r>
          </w:p>
        </w:tc>
        <w:tc>
          <w:tcPr>
            <w:tcW w:w="2204"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岳阳市法律援助中心</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9"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胡慧翔</w:t>
            </w:r>
          </w:p>
        </w:tc>
        <w:tc>
          <w:tcPr>
            <w:tcW w:w="1886"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四级主任科员</w:t>
            </w:r>
          </w:p>
        </w:tc>
        <w:tc>
          <w:tcPr>
            <w:tcW w:w="2204"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岳阳市强制隔离戒毒所</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ind w:firstLine="600" w:firstLineChars="200"/>
              <w:rPr>
                <w:rFonts w:hint="eastAsia" w:ascii="仿宋_GB2312" w:eastAsia="仿宋_GB2312"/>
                <w:sz w:val="30"/>
                <w:szCs w:val="30"/>
              </w:rPr>
            </w:pPr>
            <w:r>
              <w:rPr>
                <w:rFonts w:hint="eastAsia" w:ascii="仿宋_GB2312" w:eastAsia="仿宋_GB2312"/>
                <w:sz w:val="30"/>
                <w:szCs w:val="30"/>
              </w:rPr>
              <w:t>经请示市财政局，市财政局已调研并同意作为每年常规性项目申报。</w:t>
            </w:r>
          </w:p>
          <w:p>
            <w:pPr>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ind w:firstLine="600" w:firstLineChars="200"/>
              <w:rPr>
                <w:rFonts w:hint="eastAsia" w:ascii="仿宋_GB2312" w:eastAsia="仿宋_GB2312"/>
                <w:sz w:val="30"/>
                <w:szCs w:val="30"/>
              </w:rPr>
            </w:pPr>
            <w:r>
              <w:rPr>
                <w:rFonts w:hint="eastAsia" w:ascii="仿宋_GB2312" w:eastAsia="仿宋_GB2312"/>
                <w:sz w:val="30"/>
                <w:szCs w:val="30"/>
              </w:rPr>
              <w:t>与</w:t>
            </w:r>
            <w:r>
              <w:rPr>
                <w:rFonts w:hint="eastAsia" w:ascii="仿宋_GB2312" w:eastAsia="仿宋_GB2312"/>
                <w:sz w:val="30"/>
                <w:szCs w:val="30"/>
                <w:lang w:val="en-US" w:eastAsia="zh-CN"/>
              </w:rPr>
              <w:t>公司和法律</w:t>
            </w:r>
            <w:r>
              <w:rPr>
                <w:rFonts w:hint="eastAsia" w:ascii="仿宋_GB2312" w:eastAsia="仿宋_GB2312"/>
                <w:sz w:val="30"/>
                <w:szCs w:val="30"/>
              </w:rPr>
              <w:t>事务所签订了政府购买服务合同</w:t>
            </w:r>
          </w:p>
          <w:p>
            <w:pPr>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ind w:firstLine="600" w:firstLineChars="200"/>
              <w:rPr>
                <w:rFonts w:hint="eastAsia" w:ascii="仿宋_GB2312" w:eastAsia="仿宋_GB2312"/>
                <w:sz w:val="30"/>
                <w:szCs w:val="30"/>
              </w:rPr>
            </w:pPr>
            <w:r>
              <w:rPr>
                <w:rFonts w:hint="eastAsia" w:ascii="仿宋_GB2312" w:hAnsi="Times New Roman" w:eastAsia="仿宋_GB2312" w:cs="Times New Roman"/>
                <w:sz w:val="30"/>
                <w:szCs w:val="30"/>
                <w:lang w:val="en-US" w:eastAsia="zh-CN"/>
              </w:rPr>
              <w:t>组织开展“12·4”宪法宣传周系列活动，通过集中宣传和线上线下宣传等多种形式，全市开展法律宣传活动1296场次。</w:t>
            </w:r>
            <w:r>
              <w:rPr>
                <w:rFonts w:hint="eastAsia" w:ascii="仿宋_GB2312" w:hAnsi="Times New Roman" w:eastAsia="仿宋_GB2312" w:cs="Times New Roman"/>
                <w:sz w:val="30"/>
                <w:szCs w:val="30"/>
              </w:rPr>
              <w:t>办</w:t>
            </w:r>
            <w:r>
              <w:rPr>
                <w:rFonts w:hint="eastAsia" w:ascii="仿宋_GB2312" w:eastAsia="仿宋_GB2312"/>
                <w:sz w:val="30"/>
                <w:szCs w:val="30"/>
              </w:rPr>
              <w:t>理法律援助案件，安排律师在法院、检察院、看守所等法律援助工作站进行值班，开支法律援助业务培训，进行法律援助宣传等</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1</w:t>
            </w:r>
            <w:r>
              <w:rPr>
                <w:rFonts w:hint="eastAsia" w:ascii="仿宋" w:hAnsi="仿宋" w:eastAsia="仿宋" w:cs="仿宋"/>
                <w:bCs/>
                <w:sz w:val="28"/>
                <w:szCs w:val="28"/>
              </w:rPr>
              <w:t>年度局机关及二级机构项目支出合计</w:t>
            </w:r>
            <w:r>
              <w:rPr>
                <w:rFonts w:hint="eastAsia" w:ascii="仿宋" w:hAnsi="仿宋" w:eastAsia="仿宋" w:cs="仿宋"/>
                <w:bCs/>
                <w:sz w:val="28"/>
                <w:szCs w:val="28"/>
                <w:lang w:val="en-US" w:eastAsia="zh-CN"/>
              </w:rPr>
              <w:t>1009.52</w:t>
            </w:r>
            <w:r>
              <w:rPr>
                <w:rFonts w:hint="eastAsia" w:ascii="仿宋" w:hAnsi="仿宋" w:eastAsia="仿宋" w:cs="仿宋"/>
                <w:bCs/>
                <w:sz w:val="28"/>
                <w:szCs w:val="28"/>
              </w:rPr>
              <w:t>万元。专项支出主要用于行政立法、行政执法、依法治市、戒毒人员管理、法律援助、人民调解、社区矫正和安置帮教。</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专项</w:t>
            </w:r>
            <w:r>
              <w:rPr>
                <w:rFonts w:hint="eastAsia" w:ascii="仿宋_GB2312" w:eastAsia="仿宋_GB2312"/>
                <w:sz w:val="30"/>
                <w:szCs w:val="30"/>
              </w:rPr>
              <w:t>资金使用规范，注重绩效，支出审批程序严格，厉行节约，支出费用合理，确保了专款专用，最大限度地提高资金的使用效益</w:t>
            </w:r>
            <w:r>
              <w:rPr>
                <w:rFonts w:hint="eastAsia" w:ascii="仿宋_GB2312" w:eastAsia="仿宋_GB2312"/>
                <w:sz w:val="30"/>
                <w:szCs w:val="30"/>
                <w:lang w:eastAsia="zh-CN"/>
              </w:rPr>
              <w:t>，并且</w:t>
            </w:r>
            <w:r>
              <w:rPr>
                <w:rFonts w:hint="eastAsia" w:ascii="仿宋_GB2312" w:eastAsia="仿宋_GB2312"/>
                <w:sz w:val="30"/>
                <w:szCs w:val="30"/>
              </w:rPr>
              <w:t>严格按照预算编制控制人员经费的使用。</w:t>
            </w:r>
          </w:p>
          <w:p>
            <w:pPr>
              <w:ind w:firstLine="560" w:firstLineChars="200"/>
              <w:rPr>
                <w:rFonts w:hint="eastAsia" w:ascii="仿宋_GB2312" w:eastAsia="仿宋_GB2312"/>
                <w:sz w:val="30"/>
                <w:szCs w:val="30"/>
              </w:rPr>
            </w:pPr>
            <w:r>
              <w:rPr>
                <w:rFonts w:hint="eastAsia" w:ascii="仿宋" w:hAnsi="仿宋" w:eastAsia="仿宋" w:cs="仿宋"/>
                <w:bCs/>
                <w:sz w:val="28"/>
                <w:szCs w:val="28"/>
              </w:rPr>
              <w:t>按照专项工作的计划进度和预算安排支出专项资金，大力加强专项资金的保障力度，确保主要工作专项工作有序开展。全年总投入专项资金</w:t>
            </w:r>
            <w:r>
              <w:rPr>
                <w:rFonts w:hint="eastAsia" w:ascii="仿宋" w:hAnsi="仿宋" w:eastAsia="仿宋" w:cs="仿宋"/>
                <w:bCs/>
                <w:sz w:val="28"/>
                <w:szCs w:val="28"/>
                <w:lang w:val="en-US" w:eastAsia="zh-CN"/>
              </w:rPr>
              <w:t>1009.52</w:t>
            </w:r>
            <w:r>
              <w:rPr>
                <w:rFonts w:hint="eastAsia" w:ascii="仿宋" w:hAnsi="仿宋" w:eastAsia="仿宋" w:cs="仿宋"/>
                <w:bCs/>
                <w:sz w:val="28"/>
                <w:szCs w:val="28"/>
              </w:rPr>
              <w:t>万元，全部用于专项工作，专项资没有被挪用、挤占，全部按进度支付到位。</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一</w:t>
            </w:r>
            <w:r>
              <w:rPr>
                <w:rFonts w:hint="eastAsia" w:ascii="仿宋" w:hAnsi="仿宋" w:eastAsia="仿宋" w:cs="仿宋"/>
                <w:bCs/>
                <w:sz w:val="28"/>
                <w:szCs w:val="28"/>
              </w:rPr>
              <w:t>、完善制度，规范管理</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认真贯彻落实中央八项规定</w:t>
            </w:r>
            <w:r>
              <w:rPr>
                <w:rFonts w:hint="eastAsia" w:ascii="仿宋" w:hAnsi="仿宋" w:eastAsia="仿宋" w:cs="仿宋"/>
                <w:bCs/>
                <w:sz w:val="28"/>
                <w:szCs w:val="28"/>
                <w:lang w:eastAsia="zh-CN"/>
              </w:rPr>
              <w:t>和</w:t>
            </w:r>
            <w:r>
              <w:rPr>
                <w:rFonts w:hint="eastAsia" w:ascii="仿宋" w:hAnsi="仿宋" w:eastAsia="仿宋" w:cs="仿宋"/>
                <w:bCs/>
                <w:sz w:val="28"/>
                <w:szCs w:val="28"/>
              </w:rPr>
              <w:t>市委、市政府厉行节约的精神，进一步规范机关作风、加强机关财务管理，对单位行政运行、内部控制、会议、差旅、培训等严格按政策管理执行。</w:t>
            </w:r>
          </w:p>
          <w:p>
            <w:pPr>
              <w:numPr>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二、</w:t>
            </w:r>
            <w:r>
              <w:rPr>
                <w:rFonts w:hint="eastAsia" w:ascii="仿宋" w:hAnsi="仿宋" w:eastAsia="仿宋" w:cs="仿宋"/>
                <w:bCs/>
                <w:sz w:val="28"/>
                <w:szCs w:val="28"/>
              </w:rPr>
              <w:t>严格执行预算，控制各项经费支出</w:t>
            </w:r>
          </w:p>
          <w:p>
            <w:pPr>
              <w:numPr>
                <w:ilvl w:val="0"/>
                <w:numId w:val="0"/>
              </w:numPr>
              <w:spacing w:line="560" w:lineRule="exact"/>
              <w:ind w:firstLine="560" w:firstLineChars="200"/>
              <w:rPr>
                <w:rFonts w:hint="eastAsia" w:ascii="仿宋_GB2312" w:hAnsi="黑体" w:eastAsia="仿宋_GB2312"/>
                <w:sz w:val="30"/>
                <w:szCs w:val="30"/>
              </w:rPr>
            </w:pPr>
            <w:r>
              <w:rPr>
                <w:rFonts w:hint="eastAsia" w:ascii="仿宋" w:hAnsi="仿宋" w:eastAsia="仿宋" w:cs="仿宋"/>
                <w:bCs/>
                <w:sz w:val="28"/>
                <w:szCs w:val="28"/>
              </w:rPr>
              <w:t>为加强单位资金使用效率，落实好财务管理制度，我局成立有财务工作领导小组，</w:t>
            </w:r>
            <w:bookmarkStart w:id="0" w:name="_GoBack"/>
            <w:bookmarkEnd w:id="0"/>
            <w:r>
              <w:rPr>
                <w:rFonts w:hint="eastAsia" w:ascii="仿宋" w:hAnsi="仿宋" w:eastAsia="仿宋" w:cs="仿宋"/>
                <w:bCs/>
                <w:sz w:val="28"/>
                <w:szCs w:val="28"/>
              </w:rPr>
              <w:t>在资金使用审批上坚持局党组集体研究，纪检部门全程跟踪，分管副局长一支笔签字</w:t>
            </w:r>
            <w:r>
              <w:rPr>
                <w:rFonts w:hint="eastAsia" w:ascii="仿宋" w:hAnsi="仿宋" w:eastAsia="仿宋" w:cs="仿宋"/>
                <w:bCs/>
                <w:sz w:val="28"/>
                <w:szCs w:val="28"/>
                <w:lang w:eastAsia="zh-CN"/>
              </w:rPr>
              <w:t>报账</w:t>
            </w:r>
            <w:r>
              <w:rPr>
                <w:rFonts w:hint="eastAsia" w:ascii="仿宋" w:hAnsi="仿宋" w:eastAsia="仿宋" w:cs="仿宋"/>
                <w:bCs/>
                <w:sz w:val="28"/>
                <w:szCs w:val="28"/>
              </w:rPr>
              <w:t>的原则。严格执行政府采购。优化政府采购领域的营商环境，进一步深化财政体制改革，严格遵守政府采购制度，所有耗材及办公用品均通过政府采购平台进行采购。</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bCs/>
                <w:sz w:val="28"/>
                <w:szCs w:val="28"/>
                <w:lang w:val="en-US" w:eastAsia="zh-CN"/>
              </w:rPr>
              <w:t>2021年，</w:t>
            </w:r>
            <w:r>
              <w:rPr>
                <w:rFonts w:hint="eastAsia" w:ascii="仿宋" w:hAnsi="仿宋" w:eastAsia="仿宋" w:cs="仿宋"/>
                <w:color w:val="auto"/>
                <w:sz w:val="28"/>
                <w:szCs w:val="28"/>
              </w:rPr>
              <w:t>全市司法行政系统在省司法厅、市委、市政府的坚强领导下，在市委政法委的具体指导下，坚持以习近平新时代中国特色社会主义思想为指导，坚持党对司法行政工作的绝对领导，围绕中心服务大局，全力推进法治岳阳、法治政府和平安岳阳建设，持续巩固深化政法队伍教育整顿成果，扎实抓好干部队伍外树形象内强素质，全力以赴战疫情、防风险、护稳定、促发展，取得了较好的成绩。</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一、</w:t>
            </w:r>
            <w:r>
              <w:rPr>
                <w:rFonts w:hint="eastAsia" w:ascii="仿宋" w:hAnsi="仿宋" w:eastAsia="仿宋" w:cs="仿宋"/>
                <w:b/>
                <w:bCs w:val="0"/>
                <w:sz w:val="28"/>
                <w:szCs w:val="28"/>
              </w:rPr>
              <w:t>经济性评价方面</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本年预算配置控制较好。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预算执行方面，支出总额控制在预算总额以内，</w:t>
            </w:r>
            <w:r>
              <w:rPr>
                <w:rFonts w:hint="eastAsia" w:ascii="仿宋" w:hAnsi="仿宋" w:eastAsia="仿宋" w:cs="仿宋"/>
                <w:bCs/>
                <w:sz w:val="28"/>
                <w:szCs w:val="28"/>
                <w:lang w:eastAsia="zh-CN"/>
              </w:rPr>
              <w:t>年中追加了</w:t>
            </w:r>
            <w:r>
              <w:rPr>
                <w:rFonts w:hint="eastAsia" w:ascii="仿宋" w:hAnsi="仿宋" w:eastAsia="仿宋" w:cs="仿宋"/>
                <w:bCs/>
                <w:sz w:val="28"/>
                <w:szCs w:val="28"/>
              </w:rPr>
              <w:t>专项预算和政策性工资绩效预算；我局预算内专项资金在取得财政局的年度预算批复时，随批复一同进行了下达；追加的项目专项资金在取得上级或同级财政批复后随批复及时进行了下达；转移支付</w:t>
            </w:r>
            <w:r>
              <w:rPr>
                <w:rFonts w:hint="eastAsia" w:ascii="仿宋" w:hAnsi="仿宋" w:eastAsia="仿宋" w:cs="仿宋"/>
                <w:bCs/>
                <w:sz w:val="28"/>
                <w:szCs w:val="28"/>
                <w:lang w:eastAsia="zh-CN"/>
              </w:rPr>
              <w:t>资金</w:t>
            </w:r>
            <w:r>
              <w:rPr>
                <w:rFonts w:hint="eastAsia" w:ascii="仿宋" w:hAnsi="仿宋" w:eastAsia="仿宋" w:cs="仿宋"/>
                <w:bCs/>
                <w:sz w:val="28"/>
                <w:szCs w:val="28"/>
              </w:rPr>
              <w:t>及时进行了拨付；不存在截留或滞留专项资金情况。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预算管理方面，制度执行总体较</w:t>
            </w:r>
            <w:r>
              <w:rPr>
                <w:rFonts w:hint="eastAsia" w:ascii="仿宋" w:hAnsi="仿宋" w:eastAsia="仿宋" w:cs="仿宋"/>
                <w:bCs/>
                <w:sz w:val="28"/>
                <w:szCs w:val="28"/>
                <w:lang w:eastAsia="zh-CN"/>
              </w:rPr>
              <w:t>好</w:t>
            </w:r>
            <w:r>
              <w:rPr>
                <w:rFonts w:hint="eastAsia" w:ascii="仿宋" w:hAnsi="仿宋" w:eastAsia="仿宋" w:cs="仿宋"/>
                <w:bCs/>
                <w:sz w:val="28"/>
                <w:szCs w:val="28"/>
              </w:rPr>
              <w:t>，仍需进一步强化；资金使用管理需进一步加强。</w:t>
            </w:r>
          </w:p>
          <w:p>
            <w:pPr>
              <w:spacing w:line="560" w:lineRule="exact"/>
              <w:ind w:firstLine="560" w:firstLineChars="200"/>
              <w:rPr>
                <w:rFonts w:hint="eastAsia" w:ascii="仿宋" w:hAnsi="仿宋" w:eastAsia="仿宋" w:cs="仿宋"/>
                <w:color w:val="auto"/>
                <w:sz w:val="32"/>
                <w:szCs w:val="32"/>
                <w:lang w:val="en-US" w:eastAsia="zh-CN"/>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社会效益</w:t>
            </w:r>
            <w:r>
              <w:rPr>
                <w:rFonts w:hint="eastAsia" w:ascii="仿宋" w:hAnsi="仿宋" w:eastAsia="仿宋" w:cs="仿宋"/>
                <w:bCs/>
                <w:sz w:val="28"/>
                <w:szCs w:val="28"/>
              </w:rPr>
              <w:t>指标方面</w:t>
            </w:r>
            <w:r>
              <w:rPr>
                <w:rFonts w:hint="eastAsia" w:ascii="仿宋" w:hAnsi="仿宋" w:eastAsia="仿宋" w:cs="仿宋"/>
                <w:bCs/>
                <w:sz w:val="28"/>
                <w:szCs w:val="28"/>
                <w:lang w:eastAsia="zh-CN"/>
              </w:rPr>
              <w:t>，</w:t>
            </w:r>
            <w:r>
              <w:rPr>
                <w:rFonts w:hint="eastAsia" w:ascii="仿宋" w:hAnsi="仿宋" w:eastAsia="仿宋" w:cs="仿宋"/>
                <w:bCs/>
                <w:sz w:val="28"/>
                <w:szCs w:val="28"/>
              </w:rPr>
              <w:t>坚持“应援尽援优援”的服务理念，2021年省市重点民生实事法律援助项目完成率达135.88%，受理12348公共法律服务热线咨询服务19122人次，现场接待来访咨询3650余人次，岳阳市法援中心、岳阳楼区法援中心、临湘市法援中心、华容县法援中心获评湖南省法律援助案件质量评估优秀单位。加强村级人民调解组织建设，充分发挥基层人民调解员队伍作用，调解成功率达90%以上，有效预防化解社会矛盾纠纷。</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二、</w:t>
            </w:r>
            <w:r>
              <w:rPr>
                <w:rFonts w:hint="eastAsia" w:ascii="仿宋" w:hAnsi="仿宋" w:eastAsia="仿宋" w:cs="仿宋"/>
                <w:b/>
                <w:bCs w:val="0"/>
                <w:sz w:val="28"/>
                <w:szCs w:val="28"/>
              </w:rPr>
              <w:t>效率性评价和有效性评价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社会效率和有效性评价较好。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lang w:eastAsia="zh-CN"/>
              </w:rPr>
              <w:t>社会公众满意度评价</w:t>
            </w:r>
          </w:p>
          <w:p>
            <w:pPr>
              <w:spacing w:line="560" w:lineRule="exact"/>
              <w:ind w:firstLine="560" w:firstLineChars="200"/>
              <w:rPr>
                <w:rFonts w:hint="eastAsia" w:ascii="仿宋_GB2312" w:hAnsi="黑体" w:eastAsia="仿宋_GB2312"/>
                <w:sz w:val="30"/>
                <w:szCs w:val="30"/>
              </w:rPr>
            </w:pPr>
            <w:r>
              <w:rPr>
                <w:rFonts w:hint="eastAsia" w:ascii="仿宋" w:hAnsi="仿宋" w:eastAsia="仿宋" w:cs="仿宋"/>
                <w:bCs/>
                <w:sz w:val="28"/>
                <w:szCs w:val="28"/>
              </w:rPr>
              <w:t>社会公众满意度较好。</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一、存在问题：</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对绩效考评的结果利用的范围有限，缺乏长效机制。</w:t>
            </w:r>
          </w:p>
          <w:p>
            <w:pPr>
              <w:spacing w:line="560" w:lineRule="exact"/>
              <w:ind w:firstLine="600" w:firstLineChars="200"/>
              <w:rPr>
                <w:rFonts w:hint="eastAsia" w:ascii="仿宋" w:hAnsi="仿宋" w:eastAsia="仿宋_GB2312" w:cs="仿宋"/>
                <w:bCs/>
                <w:sz w:val="28"/>
                <w:szCs w:val="28"/>
                <w:lang w:val="en-US" w:eastAsia="zh-CN"/>
              </w:rPr>
            </w:pPr>
            <w:r>
              <w:rPr>
                <w:rFonts w:hint="eastAsia" w:ascii="仿宋_GB2312" w:eastAsia="仿宋_GB2312"/>
                <w:sz w:val="30"/>
                <w:szCs w:val="30"/>
                <w:lang w:val="en-US" w:eastAsia="zh-CN"/>
              </w:rPr>
              <w:t>2、</w:t>
            </w:r>
            <w:r>
              <w:rPr>
                <w:rFonts w:hint="eastAsia" w:ascii="仿宋_GB2312" w:eastAsia="仿宋_GB2312"/>
                <w:sz w:val="30"/>
                <w:szCs w:val="30"/>
              </w:rPr>
              <w:t>在经费保障方面还存在不足</w:t>
            </w:r>
            <w:r>
              <w:rPr>
                <w:rFonts w:hint="eastAsia" w:ascii="仿宋_GB2312" w:eastAsia="仿宋_GB2312"/>
                <w:sz w:val="30"/>
                <w:szCs w:val="30"/>
                <w:lang w:eastAsia="zh-CN"/>
              </w:rPr>
              <w:t>。</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二、建议：</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健全内部管理和控制制度，提高绩效管理水平。</w:t>
            </w:r>
            <w:r>
              <w:rPr>
                <w:rFonts w:hint="eastAsia" w:ascii="仿宋" w:hAnsi="仿宋" w:eastAsia="仿宋" w:cs="仿宋"/>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2、坚持财务分析常态化。定期做好支出预算财务分析，及时对费用预算执行情况进行通报和预警，定期对下属预算单位的预算执行情况进行检查，做好部门整体支出预算评价工作。</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spacing w:line="560" w:lineRule="exact"/>
              <w:ind w:firstLine="560" w:firstLineChars="200"/>
              <w:rPr>
                <w:rFonts w:eastAsia="楷体_GB2312"/>
                <w:bCs/>
                <w:sz w:val="28"/>
                <w:szCs w:val="28"/>
              </w:rPr>
            </w:pP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
    <w:nsid w:val="552081A8"/>
    <w:multiLevelType w:val="singleLevel"/>
    <w:tmpl w:val="552081A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OWQ4OWFhYzU5ODZiNTI5MDY5MWZiYTU4ZTM0Y2U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9A36C9"/>
    <w:rsid w:val="13FD6BA3"/>
    <w:rsid w:val="16C26394"/>
    <w:rsid w:val="17A43566"/>
    <w:rsid w:val="17D62449"/>
    <w:rsid w:val="18166C57"/>
    <w:rsid w:val="18F36ECE"/>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8F857E8"/>
    <w:rsid w:val="29920A20"/>
    <w:rsid w:val="29FF3454"/>
    <w:rsid w:val="2A024927"/>
    <w:rsid w:val="2AE422B4"/>
    <w:rsid w:val="2B571D3D"/>
    <w:rsid w:val="2E124D4B"/>
    <w:rsid w:val="2FAB3B39"/>
    <w:rsid w:val="30096031"/>
    <w:rsid w:val="31B47AAC"/>
    <w:rsid w:val="32F61BFE"/>
    <w:rsid w:val="33266981"/>
    <w:rsid w:val="33D81965"/>
    <w:rsid w:val="33FB79C4"/>
    <w:rsid w:val="35327B23"/>
    <w:rsid w:val="3547731A"/>
    <w:rsid w:val="3662489D"/>
    <w:rsid w:val="366375D2"/>
    <w:rsid w:val="379B40A4"/>
    <w:rsid w:val="3B681D67"/>
    <w:rsid w:val="3CC6041E"/>
    <w:rsid w:val="3DB14044"/>
    <w:rsid w:val="3E446A1F"/>
    <w:rsid w:val="41DB497A"/>
    <w:rsid w:val="432C3BF6"/>
    <w:rsid w:val="456A3C81"/>
    <w:rsid w:val="456F6819"/>
    <w:rsid w:val="47AC402E"/>
    <w:rsid w:val="488C1A5A"/>
    <w:rsid w:val="497A5C9E"/>
    <w:rsid w:val="4A921CA8"/>
    <w:rsid w:val="4B0D129B"/>
    <w:rsid w:val="4CAD6623"/>
    <w:rsid w:val="4CC47888"/>
    <w:rsid w:val="4D78026E"/>
    <w:rsid w:val="4F0A0126"/>
    <w:rsid w:val="4FC86BB2"/>
    <w:rsid w:val="4FDF32BD"/>
    <w:rsid w:val="50770BDE"/>
    <w:rsid w:val="50C37CD5"/>
    <w:rsid w:val="51574B32"/>
    <w:rsid w:val="518665EC"/>
    <w:rsid w:val="52CB6318"/>
    <w:rsid w:val="531A0AE1"/>
    <w:rsid w:val="53810CBC"/>
    <w:rsid w:val="54DA5AFE"/>
    <w:rsid w:val="54E96D2E"/>
    <w:rsid w:val="55737069"/>
    <w:rsid w:val="55742F2F"/>
    <w:rsid w:val="55C331B7"/>
    <w:rsid w:val="55CC7CA4"/>
    <w:rsid w:val="57D24C11"/>
    <w:rsid w:val="587F6039"/>
    <w:rsid w:val="58C07DD5"/>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4AF008E"/>
    <w:rsid w:val="759A216F"/>
    <w:rsid w:val="77253503"/>
    <w:rsid w:val="779E30CB"/>
    <w:rsid w:val="7801100A"/>
    <w:rsid w:val="78592FD3"/>
    <w:rsid w:val="78875A40"/>
    <w:rsid w:val="7ACE4250"/>
    <w:rsid w:val="7BC307D9"/>
    <w:rsid w:val="7C4A40EA"/>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2"/>
    <w:basedOn w:val="1"/>
    <w:link w:val="14"/>
    <w:unhideWhenUsed/>
    <w:qFormat/>
    <w:uiPriority w:val="99"/>
    <w:pPr>
      <w:ind w:firstLine="588" w:firstLineChars="200"/>
    </w:pPr>
    <w:rPr>
      <w:rFonts w:ascii="仿宋_GB2312" w:hAnsi="Calibri" w:eastAsia="仿宋_GB2312"/>
      <w:sz w:val="32"/>
    </w:rPr>
  </w:style>
  <w:style w:type="paragraph" w:styleId="5">
    <w:name w:val="Balloon Text"/>
    <w:basedOn w:val="1"/>
    <w:link w:val="17"/>
    <w:semiHidden/>
    <w:qFormat/>
    <w:uiPriority w:val="0"/>
    <w:rPr>
      <w:sz w:val="18"/>
      <w:szCs w:val="18"/>
    </w:rPr>
  </w:style>
  <w:style w:type="paragraph" w:styleId="6">
    <w:name w:val="footer"/>
    <w:basedOn w:val="1"/>
    <w:link w:val="11"/>
    <w:unhideWhenUsed/>
    <w:qFormat/>
    <w:uiPriority w:val="0"/>
    <w:pPr>
      <w:tabs>
        <w:tab w:val="center" w:pos="4153"/>
        <w:tab w:val="right" w:pos="8306"/>
      </w:tabs>
      <w:snapToGrid w:val="0"/>
      <w:jc w:val="left"/>
    </w:pPr>
    <w:rPr>
      <w:sz w:val="18"/>
      <w:szCs w:val="18"/>
    </w:rPr>
  </w:style>
  <w:style w:type="character" w:styleId="9">
    <w:name w:val="page number"/>
    <w:qFormat/>
    <w:uiPriority w:val="0"/>
  </w:style>
  <w:style w:type="character" w:customStyle="1" w:styleId="10">
    <w:name w:val="页眉 字符"/>
    <w:basedOn w:val="8"/>
    <w:link w:val="3"/>
    <w:semiHidden/>
    <w:qFormat/>
    <w:uiPriority w:val="99"/>
    <w:rPr>
      <w:sz w:val="18"/>
      <w:szCs w:val="18"/>
    </w:rPr>
  </w:style>
  <w:style w:type="character" w:customStyle="1" w:styleId="11">
    <w:name w:val="页脚 字符"/>
    <w:basedOn w:val="8"/>
    <w:link w:val="6"/>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字符"/>
    <w:basedOn w:val="8"/>
    <w:link w:val="4"/>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字符"/>
    <w:basedOn w:val="8"/>
    <w:link w:val="5"/>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2928</Words>
  <Characters>3094</Characters>
  <Lines>47</Lines>
  <Paragraphs>13</Paragraphs>
  <TotalTime>7</TotalTime>
  <ScaleCrop>false</ScaleCrop>
  <LinksUpToDate>false</LinksUpToDate>
  <CharactersWithSpaces>3669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52529</cp:lastModifiedBy>
  <cp:lastPrinted>2021-06-25T03:03:00Z</cp:lastPrinted>
  <dcterms:modified xsi:type="dcterms:W3CDTF">2023-09-23T04:54:20Z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93BDFEDF53094BB69A4F5CE90438DF6E_13</vt:lpwstr>
  </property>
</Properties>
</file>