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84"/>
          <w:szCs w:val="84"/>
        </w:rPr>
      </w:pPr>
    </w:p>
    <w:p>
      <w:pPr>
        <w:pStyle w:val="12"/>
        <w:jc w:val="center"/>
        <w:rPr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岳阳市强制隔离戒毒所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单位决算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spacing w:line="540" w:lineRule="exact"/>
        <w:jc w:val="center"/>
        <w:rPr>
          <w:sz w:val="56"/>
          <w:szCs w:val="56"/>
        </w:rPr>
      </w:pPr>
    </w:p>
    <w:p>
      <w:pPr>
        <w:pStyle w:val="12"/>
        <w:spacing w:line="500" w:lineRule="exact"/>
        <w:jc w:val="both"/>
        <w:rPr>
          <w:b/>
          <w:sz w:val="36"/>
          <w:szCs w:val="28"/>
        </w:rPr>
      </w:pPr>
    </w:p>
    <w:p>
      <w:pPr>
        <w:pStyle w:val="12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XX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部门（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单位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概况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岳阳市强制隔离戒毒所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单位概况</w:t>
      </w:r>
    </w:p>
    <w:p>
      <w:pPr>
        <w:pStyle w:val="7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7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3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keepNext/>
        <w:keepLines/>
        <w:shd w:val="clear" w:color="auto" w:fill="FFFFFF"/>
        <w:spacing w:beforeLines="0" w:afterLines="0"/>
        <w:ind w:firstLine="64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依法履行对强制隔离戒毒、戒毒康复的管理教育及对社区戒毒、康复工作提供指导和支持职责。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（一）内设机构设置。</w:t>
      </w:r>
      <w:r>
        <w:rPr>
          <w:rFonts w:hint="eastAsia" w:ascii="宋体" w:hAnsi="宋体"/>
          <w:bCs/>
          <w:kern w:val="0"/>
          <w:sz w:val="32"/>
          <w:szCs w:val="32"/>
        </w:rPr>
        <w:t>岳阳市强制隔离戒毒所单位内设机构包括：内设机构：办公室、政工科、</w:t>
      </w:r>
      <w:r>
        <w:rPr>
          <w:rFonts w:hint="eastAsia" w:ascii="宋体" w:hAnsi="宋体"/>
          <w:bCs/>
          <w:kern w:val="0"/>
          <w:sz w:val="32"/>
          <w:szCs w:val="32"/>
          <w:lang w:eastAsia="zh-CN"/>
        </w:rPr>
        <w:t>装备财务保障科</w:t>
      </w:r>
      <w:r>
        <w:rPr>
          <w:rFonts w:hint="eastAsia" w:ascii="宋体" w:hAnsi="宋体"/>
          <w:bCs/>
          <w:kern w:val="0"/>
          <w:sz w:val="32"/>
          <w:szCs w:val="32"/>
        </w:rPr>
        <w:t>、强制隔离戒毒管理科、教育矫治科、社区戒毒（康复）指导科、生活医疗科、纪检监察室、4个常规矫治大队、康复教育大队、医疗戒护大队、警戒护卫大队、回归适应大队。</w:t>
      </w:r>
    </w:p>
    <w:p>
      <w:pPr>
        <w:widowControl/>
        <w:spacing w:line="600" w:lineRule="exact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  <w:t>（二）决算单位构成。</w:t>
      </w:r>
      <w:r>
        <w:rPr>
          <w:rFonts w:hint="eastAsia" w:ascii="宋体" w:hAnsi="宋体"/>
          <w:bCs/>
          <w:kern w:val="0"/>
          <w:sz w:val="32"/>
          <w:szCs w:val="32"/>
        </w:rPr>
        <w:t>岳阳市强制隔离戒毒所202</w:t>
      </w:r>
      <w:r>
        <w:rPr>
          <w:rFonts w:hint="eastAsia" w:ascii="宋体" w:hAnsi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Cs/>
          <w:kern w:val="0"/>
          <w:sz w:val="32"/>
          <w:szCs w:val="32"/>
        </w:rPr>
        <w:t>年部门决算汇总公开单位构成包括：岳阳市强制隔离戒毒所单位本级。</w:t>
      </w:r>
      <w:r>
        <w:rPr>
          <w:rFonts w:hint="eastAsia" w:ascii="宋体" w:hAnsi="宋体"/>
          <w:bCs/>
          <w:kern w:val="0"/>
          <w:sz w:val="32"/>
          <w:szCs w:val="32"/>
          <w:lang w:eastAsia="zh-CN"/>
        </w:rPr>
        <w:t>本单位无独立核算的下属单位。</w:t>
      </w:r>
    </w:p>
    <w:p>
      <w:pPr>
        <w:widowControl/>
        <w:spacing w:line="600" w:lineRule="exact"/>
        <w:rPr>
          <w:rFonts w:hint="eastAsia" w:ascii="Times New Roman" w:hAnsi="Times New Roman" w:eastAsia="仿宋_GB2312" w:cs="仿宋_GB2312"/>
          <w:bCs/>
          <w:kern w:val="0"/>
          <w:sz w:val="32"/>
          <w:szCs w:val="32"/>
        </w:rPr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both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6656.77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2127.03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46.96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Times New Roman" w:hAnsi="Times New Roman" w:eastAsia="仿宋_GB2312"/>
          <w:sz w:val="32"/>
          <w:szCs w:val="32"/>
        </w:rPr>
        <w:t>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新所搬迁基本建设支出增加以及人员工资调标增加。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6636.69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6531.52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98.42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%；其他收入105.17万元，占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年度支出合计6645.2万元，其中：基本支出3015.86万元，占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45.38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%；项目支出3629.34万元，占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54.62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年度财政拨款收、支总计6531.52万元，与上年相比，增加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2214.37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51.29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Times New Roman" w:hAnsi="Times New Roman" w:eastAsia="仿宋_GB2312"/>
          <w:sz w:val="32"/>
          <w:szCs w:val="32"/>
        </w:rPr>
        <w:t>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新所搬迁基本建设支出增加以及人员工资调标增加。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i/>
          <w:i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年度财政拨款支出6531.52万元，占本年支出合计的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98.29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2214.37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51.29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Times New Roman" w:hAnsi="Times New Roman" w:eastAsia="仿宋_GB2312"/>
          <w:sz w:val="32"/>
          <w:szCs w:val="32"/>
        </w:rPr>
        <w:t>主要是因为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新所搬迁基本建设支出增加以及人员工资调标增加。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年度财政拨款支出6531.52万元，主要用于以下方面：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（类）支出6133.55万元，占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93.91</w:t>
      </w:r>
      <w:r>
        <w:rPr>
          <w:rFonts w:hint="eastAsia" w:ascii="仿宋_GB2312" w:hAnsi="仿宋_GB2312" w:eastAsia="仿宋_GB2312" w:cs="仿宋_GB2312"/>
          <w:sz w:val="32"/>
          <w:szCs w:val="32"/>
        </w:rPr>
        <w:t>%；社会保障和就业（类）支出164.66万元，占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2.52</w:t>
      </w:r>
      <w:r>
        <w:rPr>
          <w:rFonts w:hint="eastAsia" w:ascii="仿宋_GB2312" w:hAnsi="仿宋_GB2312" w:eastAsia="仿宋_GB2312" w:cs="仿宋_GB2312"/>
          <w:sz w:val="32"/>
          <w:szCs w:val="32"/>
        </w:rPr>
        <w:t>%;卫生健康（类）支出84.79万元，占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；住房保障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（类）支出148.52万元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年度财政拨款支出年初预算数为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6531.52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6531.52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公共安全支出（类）司法（款）一般行政管理事务（项）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Times New Roman" w:hAnsi="Times New Roman" w:eastAsia="仿宋_GB2312"/>
          <w:sz w:val="32"/>
          <w:szCs w:val="32"/>
        </w:rPr>
        <w:t>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/>
          <w:sz w:val="32"/>
          <w:szCs w:val="32"/>
        </w:rPr>
        <w:t>年初预算数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持平。</w:t>
      </w:r>
      <w:r>
        <w:rPr>
          <w:rFonts w:hint="eastAsia" w:ascii="Times New Roman" w:hAnsi="Times New Roman" w:eastAsia="仿宋_GB2312"/>
          <w:sz w:val="32"/>
          <w:szCs w:val="32"/>
        </w:rPr>
        <w:t>主要原因是我单位严格按预算执行决算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公共安全支出（类）强制隔离戒毒（款）行政运行（项）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年初预算为2077.19万元，支出决算为2077.19万元，完成年初预算的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Times New Roman" w:hAnsi="Times New Roman" w:eastAsia="仿宋_GB2312"/>
          <w:sz w:val="32"/>
          <w:szCs w:val="32"/>
        </w:rPr>
        <w:t>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/>
          <w:sz w:val="32"/>
          <w:szCs w:val="32"/>
        </w:rPr>
        <w:t>年初预算数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持平。</w:t>
      </w:r>
      <w:r>
        <w:rPr>
          <w:rFonts w:hint="eastAsia" w:ascii="Times New Roman" w:hAnsi="Times New Roman" w:eastAsia="仿宋_GB2312"/>
          <w:sz w:val="32"/>
          <w:szCs w:val="32"/>
        </w:rPr>
        <w:t>主要原因是我单位严格按预算执行决算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05"/>
        </w:tabs>
        <w:kinsoku/>
        <w:wordWrap/>
        <w:overflowPunct/>
        <w:topLinePunct w:val="0"/>
        <w:bidi w:val="0"/>
        <w:snapToGrid/>
        <w:spacing w:line="600" w:lineRule="exact"/>
        <w:ind w:left="40" w:leftChars="0" w:firstLine="800" w:firstLineChars="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公共安全支出（类）强制隔离戒毒（款）一般行政管理事务（项）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5"/>
        </w:tabs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576.78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576.78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/>
          <w:sz w:val="32"/>
          <w:szCs w:val="32"/>
        </w:rPr>
        <w:t>年初预算数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持平。</w:t>
      </w:r>
      <w:r>
        <w:rPr>
          <w:rFonts w:hint="eastAsia" w:ascii="Times New Roman" w:hAnsi="Times New Roman" w:eastAsia="仿宋_GB2312"/>
          <w:sz w:val="32"/>
          <w:szCs w:val="32"/>
        </w:rPr>
        <w:t>主要原因是我单位严格按预算执行决算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40" w:leftChars="0" w:firstLine="800" w:firstLineChars="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公共安全支出（类）强制隔离戒毒（款）所政设施建设（项）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5"/>
        </w:tabs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2413.45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2413.45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/>
          <w:sz w:val="32"/>
          <w:szCs w:val="32"/>
        </w:rPr>
        <w:t>年初预算数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持平。</w:t>
      </w:r>
      <w:r>
        <w:rPr>
          <w:rFonts w:hint="eastAsia" w:ascii="Times New Roman" w:hAnsi="Times New Roman" w:eastAsia="仿宋_GB2312"/>
          <w:sz w:val="32"/>
          <w:szCs w:val="32"/>
        </w:rPr>
        <w:t>主要原因是我单位严格按预算执行决算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840" w:leftChars="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5、公共安全支出（类）强制隔离戒毒（款）其他强制隔离戒毒支出（项）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5"/>
        </w:tabs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1036.77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1036.77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/>
          <w:sz w:val="32"/>
          <w:szCs w:val="32"/>
        </w:rPr>
        <w:t>年初预算数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持平。</w:t>
      </w:r>
      <w:r>
        <w:rPr>
          <w:rFonts w:hint="eastAsia" w:ascii="Times New Roman" w:hAnsi="Times New Roman" w:eastAsia="仿宋_GB2312"/>
          <w:sz w:val="32"/>
          <w:szCs w:val="32"/>
        </w:rPr>
        <w:t>主要原因是我单位严格按预算执行决算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840" w:leftChars="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6、公共安全支出（类）其他公共安全支出（款）其他公共安全支出（项）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5"/>
        </w:tabs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/>
          <w:sz w:val="32"/>
          <w:szCs w:val="32"/>
        </w:rPr>
        <w:t>年初预算数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持平。</w:t>
      </w:r>
      <w:r>
        <w:rPr>
          <w:rFonts w:hint="eastAsia" w:ascii="Times New Roman" w:hAnsi="Times New Roman" w:eastAsia="仿宋_GB2312"/>
          <w:sz w:val="32"/>
          <w:szCs w:val="32"/>
        </w:rPr>
        <w:t>主要原因是我单位严格按预算执行决算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5"/>
        </w:tabs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7、社会保障和就业支出（类）行政事业单位养老支出（款）机关事业单位基本养老保险缴费支出（项）。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5"/>
        </w:tabs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164.66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164.66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/>
          <w:sz w:val="32"/>
          <w:szCs w:val="32"/>
        </w:rPr>
        <w:t>年初预算数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持平。</w:t>
      </w:r>
      <w:r>
        <w:rPr>
          <w:rFonts w:hint="eastAsia" w:ascii="Times New Roman" w:hAnsi="Times New Roman" w:eastAsia="仿宋_GB2312"/>
          <w:sz w:val="32"/>
          <w:szCs w:val="32"/>
        </w:rPr>
        <w:t>主要原因是我单位严格按预算执行决算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="840" w:leftChars="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8、</w:t>
      </w: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卫生健康支出（类）行政事业单位医疗（款）行政单位医疗（项）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5"/>
        </w:tabs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84.79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84.79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/>
          <w:sz w:val="32"/>
          <w:szCs w:val="32"/>
        </w:rPr>
        <w:t>年初预算数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持平。</w:t>
      </w:r>
      <w:r>
        <w:rPr>
          <w:rFonts w:hint="eastAsia" w:ascii="Times New Roman" w:hAnsi="Times New Roman" w:eastAsia="仿宋_GB2312"/>
          <w:sz w:val="32"/>
          <w:szCs w:val="32"/>
        </w:rPr>
        <w:t>主要原因是我单位严格按预算执行决算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5"/>
        </w:tabs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9、住房保障支出</w:t>
      </w: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 w:bidi="ar-SA"/>
        </w:rPr>
        <w:t>（类）住房改革支出（款）住房公积金（项）。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5"/>
        </w:tabs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年初预算为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148.52</w:t>
      </w:r>
      <w:r>
        <w:rPr>
          <w:rFonts w:hint="eastAsia" w:ascii="Times New Roman" w:hAnsi="Times New Roman" w:eastAsia="仿宋_GB2312"/>
          <w:sz w:val="32"/>
          <w:szCs w:val="32"/>
        </w:rPr>
        <w:t>万元，支出决算为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148.52</w:t>
      </w:r>
      <w:r>
        <w:rPr>
          <w:rFonts w:hint="eastAsia" w:ascii="Times New Roman" w:hAns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%，决算数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与</w:t>
      </w:r>
      <w:r>
        <w:rPr>
          <w:rFonts w:hint="eastAsia" w:ascii="Times New Roman" w:hAnsi="Times New Roman" w:eastAsia="仿宋_GB2312"/>
          <w:sz w:val="32"/>
          <w:szCs w:val="32"/>
        </w:rPr>
        <w:t>年初预算数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持平。</w:t>
      </w:r>
      <w:r>
        <w:rPr>
          <w:rFonts w:hint="eastAsia" w:ascii="Times New Roman" w:hAnsi="Times New Roman" w:eastAsia="仿宋_GB2312"/>
          <w:sz w:val="32"/>
          <w:szCs w:val="32"/>
        </w:rPr>
        <w:t>主要原因是我单位严格按预算执行决算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5"/>
        </w:tabs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5"/>
        </w:tabs>
        <w:kinsoku/>
        <w:wordWrap/>
        <w:overflowPunct/>
        <w:topLinePunct w:val="0"/>
        <w:bidi w:val="0"/>
        <w:snapToGrid/>
        <w:spacing w:line="600" w:lineRule="exact"/>
        <w:ind w:firstLine="960" w:firstLineChars="3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2971.04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2659.66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89.52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%,主要包括基本工资、津贴补贴、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人和家庭的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311.38万元，占基本支出的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10.48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办公费、印刷费、咨询费、手续费、水费、电费、邮电费、取暖费、物业管理费、差旅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公务用车购置、其他交通工具购置、其他资本性支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年度政府性基金预算财政拨款收入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万元；年初结转和结余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万元；年末结转和结余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2023年度国有资本经营预算财政拨款收入0万元；年初结转和结余0万；支出0万元，其中：基本支出0万元，项目支出0万元；年末结转和结余0万元。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（一）“三公”经费财政拨款支出决算总体情况说明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“三公”经费财政拨款支出预算为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70.79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按有关政策厉行节约，严控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与上年相比减少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69.12</w:t>
      </w:r>
      <w:r>
        <w:rPr>
          <w:rFonts w:hint="eastAsia" w:ascii="仿宋_GB2312" w:hAnsi="仿宋_GB2312" w:eastAsia="仿宋_GB2312" w:cs="仿宋_GB2312"/>
          <w:sz w:val="32"/>
          <w:szCs w:val="32"/>
        </w:rPr>
        <w:t>%,减少的主要原因是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2022年购置公务车一台，2023年没有公务用车购置开支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决算数等于预算数，主要原因是我单位严格按预算执行决算；与上年一致，无增减变动，主要原因是未安排因公出国（境）活动。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公务接待费支出预算为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45.5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按有关政策厉行节约，严控公务接待支出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，与上年相比增加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1037.5</w:t>
      </w:r>
      <w:r>
        <w:rPr>
          <w:rFonts w:hint="eastAsia" w:ascii="仿宋_GB2312" w:hAnsi="仿宋_GB2312" w:eastAsia="仿宋_GB2312" w:cs="仿宋_GB2312"/>
          <w:sz w:val="32"/>
          <w:szCs w:val="32"/>
        </w:rPr>
        <w:t>%,增长的主要原因是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2022年因疫情封所，公务接待基数低，2023年解封，恢复正常公务活动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公务用车购置费支出预算为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万元，完成预算的XX%，决算数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我单位严格按预算执行决算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，与上年相比减少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%,减少的主要原因是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2022年购置公务车一台，2023年没有公务用车购置开支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0.75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按有关政策厉行节约，严控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，与上年相比减少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35.85</w:t>
      </w:r>
      <w:r>
        <w:rPr>
          <w:rFonts w:hint="eastAsia" w:ascii="仿宋_GB2312" w:hAnsi="仿宋_GB2312" w:eastAsia="仿宋_GB2312" w:cs="仿宋_GB2312"/>
          <w:sz w:val="32"/>
          <w:szCs w:val="32"/>
        </w:rPr>
        <w:t>%,减少的主要原因是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按有关政策厉行节约，严控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（二）“三公”经费财政拨款支出决算具体情况说明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年度“三公”经费财政拨款支出决算中，公务接待费支出决算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9.18</w:t>
      </w:r>
      <w:r>
        <w:rPr>
          <w:rFonts w:hint="eastAsia" w:ascii="仿宋_GB2312" w:hAnsi="仿宋_GB2312" w:eastAsia="仿宋_GB2312" w:cs="仿宋_GB2312"/>
          <w:sz w:val="32"/>
          <w:szCs w:val="32"/>
        </w:rPr>
        <w:t>%,因公出国（境）费支出决算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%,公务用车购置费及运行维护费支出决算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90.82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万元，全年安排因公出国（境）团组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我单位2023年度无因公出国（境）费支出。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2、公务接待费支出决算为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万元，全年共接待来访团组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个、来宾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上级检查、交流学习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发生的接待支出。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3、公务用车购置费及运行维护费支出决算为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当年没有购置公务用车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公务车加油、维修、保险等</w:t>
      </w:r>
      <w:r>
        <w:rPr>
          <w:rFonts w:hint="eastAsia" w:ascii="Times New Roman" w:hAnsi="Times New Roman" w:eastAsia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年12月31日，我单位开支财政拨款的公务用车保有量为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2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年度机关运行经费支出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311.38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万元，比上年决算数增加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43.02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16.03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%。主要原因是：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2022年关账时部分开支未来的急支付，在2023年开账后支付，导致2023年机关运行经费增加</w:t>
      </w:r>
      <w:bookmarkEnd w:id="0"/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2023年年度，会议费年初预算0万元，支出决算为0万元，本单位无会议费的预算和支出决算数。</w:t>
      </w:r>
    </w:p>
    <w:p>
      <w:pPr>
        <w:widowControl w:val="0"/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培训费年初预算10万元，支出决算为10万元，完成年初预算的100%。用于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干警参加警校警衔培训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，人数20余人，内容为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新警首次授衔培训、警衔晋升培训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widowControl w:val="0"/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举办节庆、晚会、论坛、赛事活动年初预算0万元，支出决算为0万元，本单位无举办节庆、晚会、论坛、赛事等活动的预算和支出决算数。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万元。授予中小企业合同金额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万元，占政府采购支出总额的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%，其中：授予小微企业合同金额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%。货物采购授予中小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企业合同金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额占货物支出金额的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，副部（省）级及以上领导用车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机要通信用车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辆、特种专业技术用车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离退休干部服务用车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辆、其他用车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（不含车辆）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台（套）。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6645.2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万元，政府性基金预算支出0万元，国有资本经营预算支出0万元。从评价情况来看，整体支出绩效评价中，2023年整体支出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6645.2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万元，其中：基本支出3015.86万元，项目支出3629.34万元，本单位整体支出绩效自评综合评分97分，评价结果等次为好。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项目1个，共涉及资金119.35万元，占一般公共预算项目支出总额的3.28%。组织对政府性基金预算项目支出开展绩效自评，项目0个，共涉及资金0万元，占政府性基金预算项目支出总额的0%。组织对国有资本经营预算项目支出开展绩效自评，项目0个，共涉及资金0万元，占国有资本经营预算项目支出总额的0%。从评价情况来看，项目绩效自评得分98分，评价结果等次为好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根据年初设定的绩效目标，绩效自评得分为98分。全年预算数为6636.69 万元，执行数为6656.77万元，完成预算的100%。绩效目标完成情况：一是戒毒人员做到应收尽收，全年收治戒毒人员150余人；二是保障场所全年安全稳定，无脱逃、伤亡等事故的发生；三是保障戒毒人员基本衣食住行、医疗、教育。发现的主要问题及原因：一是资金保障不足，，场所戒治环境有待提高。下一步改进措施：一是向上级争取更多资金改善场所戒治环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预算绩效管理开展情况、绩效目标和绩效评价报告等，已在市政府部门财政预决算公开平台上向社会公开，详见附件。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楷体" w:hAnsi="楷体" w:eastAsia="楷体" w:cs="楷体"/>
          <w:b/>
          <w:bCs/>
          <w:i w:val="0"/>
          <w:iCs w:val="0"/>
          <w:color w:val="FF0000"/>
          <w:kern w:val="0"/>
          <w:sz w:val="36"/>
          <w:szCs w:val="36"/>
          <w:lang w:val="en-US" w:eastAsia="zh-CN"/>
        </w:rPr>
      </w:pPr>
    </w:p>
    <w:p>
      <w:pPr>
        <w:pStyle w:val="12"/>
        <w:jc w:val="both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>
      <w:pPr>
        <w:pStyle w:val="3"/>
      </w:pPr>
    </w:p>
    <w:p/>
    <w:p>
      <w:pPr>
        <w:pStyle w:val="7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color w:val="FF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/>
          <w:color w:val="FF0000"/>
          <w:kern w:val="0"/>
          <w:sz w:val="32"/>
          <w:szCs w:val="32"/>
          <w:lang w:val="en-US" w:eastAsia="zh-CN" w:bidi="ar-SA"/>
        </w:rPr>
        <w:t>（名词解释应包含本部门专有名词，如省财政厅应有对“财政事务”科目的解释，可参考中央相关部门的名词解释）</w:t>
      </w:r>
    </w:p>
    <w:p>
      <w:pPr>
        <w:pStyle w:val="1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/>
    <w:p>
      <w:pPr>
        <w:pStyle w:val="7"/>
      </w:pPr>
    </w:p>
    <w:p>
      <w:pPr>
        <w:pStyle w:val="3"/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>
      <w:pPr>
        <w:pStyle w:val="12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4AD125"/>
    <w:multiLevelType w:val="singleLevel"/>
    <w:tmpl w:val="534AD125"/>
    <w:lvl w:ilvl="0" w:tentative="0">
      <w:start w:val="3"/>
      <w:numFmt w:val="decimal"/>
      <w:suff w:val="nothing"/>
      <w:lvlText w:val="%1、"/>
      <w:lvlJc w:val="left"/>
      <w:pPr>
        <w:ind w:left="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ZDNkMzllMzM3OGJlMmJlYTY2MzU1ZjViZDcxMDE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59958AD"/>
    <w:rsid w:val="07C47ED9"/>
    <w:rsid w:val="12583BA5"/>
    <w:rsid w:val="13BA5B9C"/>
    <w:rsid w:val="1D97DEFF"/>
    <w:rsid w:val="1DFF72E5"/>
    <w:rsid w:val="1EFC6F07"/>
    <w:rsid w:val="22AC03C2"/>
    <w:rsid w:val="2F7350A8"/>
    <w:rsid w:val="2FDF85B8"/>
    <w:rsid w:val="2FFFEE04"/>
    <w:rsid w:val="31C95635"/>
    <w:rsid w:val="34DF85B0"/>
    <w:rsid w:val="3B8F36BC"/>
    <w:rsid w:val="3F053B63"/>
    <w:rsid w:val="48107C7C"/>
    <w:rsid w:val="48F25957"/>
    <w:rsid w:val="491FF225"/>
    <w:rsid w:val="4FFD214C"/>
    <w:rsid w:val="5352765A"/>
    <w:rsid w:val="5777D4F5"/>
    <w:rsid w:val="59DD8326"/>
    <w:rsid w:val="5DEF592A"/>
    <w:rsid w:val="5FC6BB1E"/>
    <w:rsid w:val="5FF720F1"/>
    <w:rsid w:val="67FF5C0B"/>
    <w:rsid w:val="6BAA4A2F"/>
    <w:rsid w:val="6EFC0924"/>
    <w:rsid w:val="6FB74722"/>
    <w:rsid w:val="6FEF8B7E"/>
    <w:rsid w:val="71A6591B"/>
    <w:rsid w:val="737D59BA"/>
    <w:rsid w:val="737F32B1"/>
    <w:rsid w:val="73CB7831"/>
    <w:rsid w:val="77C37683"/>
    <w:rsid w:val="79FF515B"/>
    <w:rsid w:val="7E9E1962"/>
    <w:rsid w:val="7E9F11B4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5465</Words>
  <Characters>6053</Characters>
  <Lines>63</Lines>
  <Paragraphs>18</Paragraphs>
  <TotalTime>28</TotalTime>
  <ScaleCrop>false</ScaleCrop>
  <LinksUpToDate>false</LinksUpToDate>
  <CharactersWithSpaces>6071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Administrator</cp:lastModifiedBy>
  <cp:lastPrinted>2024-08-08T10:20:00Z</cp:lastPrinted>
  <dcterms:modified xsi:type="dcterms:W3CDTF">2024-09-23T03:11:21Z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D2AE096F76E74BCFA3571EEB87BE6B9D_13</vt:lpwstr>
  </property>
</Properties>
</file>