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41F07">
      <w:pPr>
        <w:pStyle w:val="14"/>
        <w:jc w:val="center"/>
        <w:rPr>
          <w:sz w:val="56"/>
          <w:szCs w:val="56"/>
        </w:rPr>
      </w:pPr>
    </w:p>
    <w:p w14:paraId="3F1EB546">
      <w:pPr>
        <w:pStyle w:val="14"/>
        <w:jc w:val="center"/>
        <w:rPr>
          <w:sz w:val="56"/>
          <w:szCs w:val="56"/>
        </w:rPr>
      </w:pPr>
    </w:p>
    <w:p w14:paraId="5EFED4E6">
      <w:pPr>
        <w:pStyle w:val="14"/>
        <w:jc w:val="center"/>
        <w:rPr>
          <w:sz w:val="84"/>
          <w:szCs w:val="84"/>
        </w:rPr>
      </w:pPr>
    </w:p>
    <w:p w14:paraId="58407F83">
      <w:pPr>
        <w:pStyle w:val="14"/>
        <w:jc w:val="center"/>
        <w:rPr>
          <w:sz w:val="84"/>
          <w:szCs w:val="84"/>
        </w:rPr>
      </w:pPr>
    </w:p>
    <w:p w14:paraId="245E0618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202</w:t>
      </w:r>
      <w:r>
        <w:rPr>
          <w:rFonts w:hint="eastAsia" w:ascii="方正小标宋_GBK" w:hAnsi="方正小标宋_GBK" w:eastAsia="方正小标宋_GBK" w:cs="方正小标宋_GBK"/>
          <w:sz w:val="84"/>
          <w:szCs w:val="8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年度</w:t>
      </w:r>
    </w:p>
    <w:p w14:paraId="5B01BE66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岳阳市司法局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</w:t>
      </w:r>
    </w:p>
    <w:p w14:paraId="4A7940A1">
      <w:pPr>
        <w:pStyle w:val="14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 w14:paraId="49150D98">
      <w:pPr>
        <w:pStyle w:val="14"/>
        <w:jc w:val="center"/>
        <w:rPr>
          <w:sz w:val="56"/>
          <w:szCs w:val="56"/>
        </w:rPr>
      </w:pPr>
    </w:p>
    <w:p w14:paraId="2BBF987D">
      <w:pPr>
        <w:pStyle w:val="14"/>
        <w:jc w:val="center"/>
        <w:rPr>
          <w:sz w:val="56"/>
          <w:szCs w:val="56"/>
        </w:rPr>
      </w:pPr>
    </w:p>
    <w:p w14:paraId="6AB5CB90">
      <w:pPr>
        <w:pStyle w:val="14"/>
        <w:jc w:val="center"/>
        <w:rPr>
          <w:sz w:val="56"/>
          <w:szCs w:val="56"/>
        </w:rPr>
      </w:pPr>
    </w:p>
    <w:p w14:paraId="01D1F060">
      <w:pPr>
        <w:pStyle w:val="14"/>
        <w:jc w:val="center"/>
        <w:rPr>
          <w:sz w:val="32"/>
          <w:szCs w:val="32"/>
        </w:rPr>
      </w:pPr>
    </w:p>
    <w:p w14:paraId="7F234C7E">
      <w:pPr>
        <w:pStyle w:val="14"/>
        <w:jc w:val="center"/>
        <w:rPr>
          <w:sz w:val="32"/>
          <w:szCs w:val="32"/>
        </w:rPr>
      </w:pPr>
    </w:p>
    <w:p w14:paraId="3A4ABBAB">
      <w:pPr>
        <w:pStyle w:val="14"/>
        <w:jc w:val="center"/>
        <w:rPr>
          <w:sz w:val="32"/>
          <w:szCs w:val="32"/>
        </w:rPr>
      </w:pPr>
    </w:p>
    <w:p w14:paraId="1CDB34C5">
      <w:pPr>
        <w:pStyle w:val="14"/>
        <w:jc w:val="center"/>
        <w:rPr>
          <w:sz w:val="32"/>
          <w:szCs w:val="32"/>
        </w:rPr>
      </w:pPr>
    </w:p>
    <w:p w14:paraId="62243A8B">
      <w:pPr>
        <w:pStyle w:val="14"/>
        <w:jc w:val="center"/>
        <w:rPr>
          <w:sz w:val="32"/>
          <w:szCs w:val="32"/>
        </w:rPr>
      </w:pPr>
    </w:p>
    <w:p w14:paraId="4534EC54">
      <w:pPr>
        <w:pStyle w:val="14"/>
        <w:spacing w:line="540" w:lineRule="exact"/>
        <w:jc w:val="center"/>
        <w:rPr>
          <w:sz w:val="56"/>
          <w:szCs w:val="56"/>
        </w:rPr>
      </w:pPr>
    </w:p>
    <w:p w14:paraId="6C80EFB9">
      <w:pPr>
        <w:pStyle w:val="14"/>
        <w:spacing w:line="500" w:lineRule="exact"/>
        <w:jc w:val="both"/>
        <w:rPr>
          <w:b/>
          <w:sz w:val="36"/>
          <w:szCs w:val="28"/>
        </w:rPr>
      </w:pPr>
    </w:p>
    <w:p w14:paraId="0ED39DC6">
      <w:pPr>
        <w:pStyle w:val="14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 w14:paraId="49E4D14A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岳阳市司法局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概况</w:t>
      </w:r>
    </w:p>
    <w:p w14:paraId="64906AA4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 w14:paraId="1B39CF9F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 w14:paraId="1094C5BD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 w14:paraId="5B9E0A26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 w14:paraId="1547263F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 w14:paraId="4915A9CB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 w14:paraId="1BB6A82E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 w14:paraId="2F637BE7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 w14:paraId="014B30BB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 w14:paraId="27E1B297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 w14:paraId="62EB3217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 w14:paraId="35502E7B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 w14:paraId="1AF34051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 w14:paraId="60E6518A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 w14:paraId="6148A0B1"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 w14:paraId="7878EEF8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 w14:paraId="2C66BE6B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 w14:paraId="3EE26696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 w14:paraId="5DBF00A9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 w14:paraId="17DFD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 w14:paraId="1492D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 w14:paraId="0ED58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 w14:paraId="5A5B1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 w14:paraId="114EF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 w14:paraId="63498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 w14:paraId="3AE03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 w14:paraId="12E82B20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年度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 w14:paraId="3FC776FA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 w14:paraId="0F677494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 w14:paraId="75A63394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FF8A1F4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4C87B45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 xml:space="preserve">第一部分 </w:t>
      </w:r>
    </w:p>
    <w:p w14:paraId="488C3349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E01EAC9"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岳阳市司法局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概况</w:t>
      </w:r>
    </w:p>
    <w:p w14:paraId="07B4D0D8">
      <w:pPr>
        <w:pStyle w:val="8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C899E9D">
      <w:pPr>
        <w:pStyle w:val="5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6F50E175">
      <w:pPr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176C86F">
      <w:pPr>
        <w:pStyle w:val="8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430BD93">
      <w:pPr>
        <w:pStyle w:val="5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E2BCA6C">
      <w:pPr>
        <w:pStyle w:val="15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 w14:paraId="7EACC1B9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承担全面依法治市重大问题的政策研究</w:t>
      </w:r>
    </w:p>
    <w:p w14:paraId="206BC43D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承担统筹规划立法工作</w:t>
      </w:r>
    </w:p>
    <w:p w14:paraId="697E00F7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负责起草或者组织起草有关地方性法规、规章草案</w:t>
      </w:r>
    </w:p>
    <w:p w14:paraId="65159A04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承办市政府规章的解释、立法后评估工作</w:t>
      </w:r>
    </w:p>
    <w:p w14:paraId="6C034089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指导全市规范性文件管理有关工作，承担市政府规范性文件送审稿的合法性审查工作</w:t>
      </w:r>
    </w:p>
    <w:p w14:paraId="065E8B3F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承担统筹推进法治政府建设工作</w:t>
      </w:r>
    </w:p>
    <w:p w14:paraId="57E07EA9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负责对政府合同订立工作进行监督和指导</w:t>
      </w:r>
    </w:p>
    <w:p w14:paraId="40953468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承担统筹规划全市法治社会建设工作</w:t>
      </w:r>
    </w:p>
    <w:p w14:paraId="0CBC654A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指导、管理社区矫正工作</w:t>
      </w:r>
    </w:p>
    <w:p w14:paraId="24A2F505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指导、监督本系统强制隔离戒毒执行和戒毒康复工作</w:t>
      </w:r>
    </w:p>
    <w:p w14:paraId="380E9B28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拟订公共法律服务体系建设规划并指导实施</w:t>
      </w:r>
    </w:p>
    <w:p w14:paraId="651990E9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组织全市国家统一法律职业资格考试</w:t>
      </w:r>
    </w:p>
    <w:p w14:paraId="083C821A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负责全市法治对外合作工作</w:t>
      </w:r>
    </w:p>
    <w:p w14:paraId="172D6772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负责本系统枪支、弹药、服装和警车管理工作</w:t>
      </w:r>
    </w:p>
    <w:p w14:paraId="0BBD14DE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33" w:lineRule="atLeast"/>
        <w:ind w:left="0" w:leftChars="0" w:firstLine="0" w:firstLineChars="0"/>
        <w:outlineLvl w:val="0"/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规划、协调、指导法治人才队伍建设相关工作</w:t>
      </w:r>
    </w:p>
    <w:p w14:paraId="0EF47198">
      <w:pPr>
        <w:keepNext/>
        <w:keepLines/>
        <w:shd w:val="clear" w:color="auto" w:fill="FFFFFF"/>
        <w:spacing w:beforeLines="0" w:afterLines="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val="en-US" w:eastAsia="zh-CN"/>
        </w:rPr>
        <w:t>十六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）完成市委、市政府交办的其他事项</w:t>
      </w:r>
    </w:p>
    <w:p w14:paraId="00C5961A">
      <w:pPr>
        <w:widowControl/>
        <w:spacing w:line="60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 w14:paraId="314042CB">
      <w:pPr>
        <w:pStyle w:val="9"/>
        <w:widowControl/>
        <w:shd w:val="clear" w:color="auto" w:fill="FFFFFF"/>
        <w:spacing w:beforeAutospacing="0" w:afterAutospacing="0" w:line="33" w:lineRule="atLeast"/>
        <w:ind w:firstLine="420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（一）内设机构设置。</w:t>
      </w:r>
    </w:p>
    <w:p w14:paraId="2D811419">
      <w:pPr>
        <w:pStyle w:val="9"/>
        <w:widowControl/>
        <w:shd w:val="clear" w:color="auto" w:fill="FFFFFF"/>
        <w:spacing w:beforeAutospacing="0" w:afterAutospacing="0" w:line="33" w:lineRule="atLeast"/>
        <w:ind w:firstLine="420"/>
        <w:rPr>
          <w:rFonts w:hint="eastAsia" w:ascii="宋体" w:hAnsi="宋体" w:cs="宋体"/>
          <w:color w:val="000000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</w:rPr>
        <w:t>根据编委核定，我局内设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val="en-US" w:eastAsia="zh-CN"/>
        </w:rPr>
        <w:t>22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</w:rPr>
        <w:t>个科室，所属二级机构2个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</w:rPr>
        <w:t>内设科室分别是：办公室、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法治调研与督察科、立法科、规范性文件管理科、政府合同管理科、行政复议一科、行政复议二科、行政应诉科、行政执法协调监督科、人民参与和促进法治科、社区矫正管理科、戒毒管理科、公共法律服务管理科、律师工作科、装备财务保障科、组织干部科、人事警务科、队伍建设指导科、机关党委、离退休人员管理服务科、工会、机关纪委。</w:t>
      </w:r>
    </w:p>
    <w:p w14:paraId="345CDB05">
      <w:pPr>
        <w:pStyle w:val="9"/>
        <w:widowControl/>
        <w:shd w:val="clear" w:color="auto" w:fill="FFFFFF"/>
        <w:spacing w:beforeAutospacing="0" w:afterAutospacing="0" w:line="33" w:lineRule="atLeast"/>
        <w:ind w:firstLine="420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</w:rPr>
        <w:t>所属二级机构分别是岳阳市强制隔离戒毒所、岳阳市法律援助中心。</w:t>
      </w:r>
    </w:p>
    <w:p w14:paraId="76AA6240">
      <w:pPr>
        <w:widowControl/>
        <w:numPr>
          <w:ilvl w:val="0"/>
          <w:numId w:val="3"/>
        </w:numPr>
        <w:spacing w:line="600" w:lineRule="exact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决算单位构成。</w:t>
      </w:r>
    </w:p>
    <w:p w14:paraId="0007A0E2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3" w:lineRule="atLeast"/>
        <w:ind w:firstLine="600" w:firstLineChars="200"/>
        <w:textAlignment w:val="auto"/>
        <w:rPr>
          <w:rFonts w:hint="eastAsia" w:ascii="宋体" w:hAnsi="宋体" w:eastAsia="宋体"/>
          <w:bCs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  <w:lang w:eastAsia="zh-CN"/>
        </w:rPr>
        <w:t>岳阳市司法局2025</w:t>
      </w:r>
      <w:r>
        <w:rPr>
          <w:rFonts w:hint="eastAsia" w:ascii="宋体" w:hAnsi="宋体" w:cs="宋体"/>
          <w:color w:val="000000"/>
          <w:sz w:val="30"/>
          <w:szCs w:val="30"/>
          <w:shd w:val="clear" w:color="auto" w:fill="FFFFFF"/>
        </w:rPr>
        <w:t>年部门决算汇总公开单位构成包括：</w:t>
      </w:r>
      <w:r>
        <w:rPr>
          <w:rFonts w:hint="eastAsia" w:ascii="宋体" w:hAnsi="宋体"/>
          <w:bCs/>
          <w:kern w:val="0"/>
          <w:sz w:val="32"/>
          <w:szCs w:val="32"/>
          <w:lang w:eastAsia="zh-CN"/>
        </w:rPr>
        <w:t>岳阳市司法局</w:t>
      </w:r>
      <w:r>
        <w:rPr>
          <w:rFonts w:hint="eastAsia" w:ascii="宋体" w:hAnsi="宋体"/>
          <w:bCs/>
          <w:kern w:val="0"/>
          <w:sz w:val="32"/>
          <w:szCs w:val="32"/>
        </w:rPr>
        <w:t>本级</w:t>
      </w:r>
      <w:r>
        <w:rPr>
          <w:rFonts w:hint="eastAsia" w:ascii="宋体" w:hAnsi="宋体"/>
          <w:bCs/>
          <w:kern w:val="0"/>
          <w:sz w:val="32"/>
          <w:szCs w:val="32"/>
          <w:lang w:eastAsia="zh-CN"/>
        </w:rPr>
        <w:t>、岳阳市法律援助中心、岳阳市强制隔离戒毒所。</w:t>
      </w:r>
    </w:p>
    <w:p w14:paraId="7BFB4EE0"/>
    <w:p w14:paraId="15536752">
      <w:pPr>
        <w:pStyle w:val="8"/>
      </w:pPr>
    </w:p>
    <w:p w14:paraId="0ECDC8E4">
      <w:pPr>
        <w:pStyle w:val="5"/>
      </w:pPr>
    </w:p>
    <w:p w14:paraId="2C597C2F"/>
    <w:p w14:paraId="41D71685">
      <w:pPr>
        <w:pStyle w:val="8"/>
      </w:pPr>
    </w:p>
    <w:p w14:paraId="0756F45A">
      <w:pPr>
        <w:pStyle w:val="5"/>
      </w:pPr>
    </w:p>
    <w:p w14:paraId="1BE38352"/>
    <w:p w14:paraId="21BECBA9">
      <w:pPr>
        <w:pStyle w:val="8"/>
      </w:pPr>
    </w:p>
    <w:p w14:paraId="5BC06AC7">
      <w:pPr>
        <w:pStyle w:val="5"/>
      </w:pPr>
    </w:p>
    <w:p w14:paraId="0A7061BF"/>
    <w:p w14:paraId="4F9F2F66">
      <w:pPr>
        <w:pStyle w:val="8"/>
      </w:pPr>
    </w:p>
    <w:p w14:paraId="192ADCC6">
      <w:pPr>
        <w:pStyle w:val="5"/>
      </w:pPr>
    </w:p>
    <w:p w14:paraId="10FD9A38"/>
    <w:p w14:paraId="184FB210">
      <w:pPr>
        <w:pStyle w:val="8"/>
      </w:pPr>
    </w:p>
    <w:p w14:paraId="5101799D">
      <w:pPr>
        <w:pStyle w:val="5"/>
      </w:pPr>
    </w:p>
    <w:p w14:paraId="1086F753"/>
    <w:p w14:paraId="658ED145">
      <w:pPr>
        <w:pStyle w:val="8"/>
      </w:pPr>
    </w:p>
    <w:p w14:paraId="3F46B56C">
      <w:pPr>
        <w:pStyle w:val="5"/>
      </w:pPr>
    </w:p>
    <w:p w14:paraId="235B4568"/>
    <w:p w14:paraId="36FEFD7F">
      <w:pPr>
        <w:pStyle w:val="8"/>
      </w:pPr>
    </w:p>
    <w:p w14:paraId="261EBB07">
      <w:pPr>
        <w:pStyle w:val="5"/>
      </w:pPr>
    </w:p>
    <w:p w14:paraId="5A766FB9"/>
    <w:p w14:paraId="559B8FA4">
      <w:pPr>
        <w:pStyle w:val="8"/>
      </w:pPr>
    </w:p>
    <w:p w14:paraId="3DB151FE">
      <w:pPr>
        <w:pStyle w:val="5"/>
      </w:pPr>
    </w:p>
    <w:p w14:paraId="68B3F0A7"/>
    <w:p w14:paraId="0E4E94B7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C8E27E8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EF74CDC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 w14:paraId="272187D0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9BB3E50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 w14:paraId="32E104C5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 w14:paraId="430700A0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44B05E37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B0F95DC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0E5460F0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183C74B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E85E8E6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A19BA8A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06B76F41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FCFCA89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4FD28F4">
      <w:pPr>
        <w:pStyle w:val="14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872C654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 w14:paraId="2D238064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F2DCD8C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年度部门决算情况说明</w:t>
      </w:r>
    </w:p>
    <w:p w14:paraId="0A9ED981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227CBA8E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2E90C7E3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5B985C78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DEC7305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613F426E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1B522561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2DE21E9E">
      <w:pPr>
        <w:pStyle w:val="14"/>
        <w:jc w:val="both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5914AC08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决算编制时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至“金额单位：元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本套部门决算文字说明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和公开表格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取数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转换为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金额单位：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万元”，可能导致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以下文字说明中的各项数据取数以及公开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中的各项数据取数之间存在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0.01的尾数差异。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2、以下文字说明中，部分科目由于预算数为0，无法计算完成年初预算的百分比，故未描述“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完成年初预算的XX%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4B44A87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 w14:paraId="1C5E8A0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7731.58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万元。与上年相比，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1611.55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，主要是因为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加强戒所新所迁建资金。</w:t>
      </w:r>
    </w:p>
    <w:p w14:paraId="04AAA54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 w14:paraId="76FDCB2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年度收入合计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7695.34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万元，其中：财政拨款收入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7628.71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66.64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5C4353C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 w14:paraId="67CBEE5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7678.88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5481.18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2197.7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1ABCC7A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四、财政拨款收入支出决算总体情况说明</w:t>
      </w:r>
    </w:p>
    <w:p w14:paraId="59E0508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年度财政拨款收、支总计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7628.71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万元，与上年相比，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1625.83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增加强戒所新所迁建资金。</w:t>
      </w:r>
    </w:p>
    <w:p w14:paraId="74D007A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 w14:paraId="7867B97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 w14:paraId="11DFC99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7628.71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1625.83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增加强戒所新所迁建资金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04B9210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 w14:paraId="2C11980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7628.71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万元，主要用于以下方面：</w:t>
      </w:r>
      <w:r>
        <w:rPr>
          <w:rFonts w:hint="eastAsia" w:ascii="Times New Roman" w:hAnsi="Times New Roman" w:eastAsia="仿宋_GB2312"/>
          <w:sz w:val="32"/>
          <w:szCs w:val="32"/>
        </w:rPr>
        <w:t>一般公共服务（类）支出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129.91</w:t>
      </w:r>
      <w:r>
        <w:rPr>
          <w:rFonts w:hint="eastAsia" w:ascii="Times New Roman" w:hAnsi="Times New Roman" w:eastAsia="仿宋_GB2312"/>
          <w:sz w:val="32"/>
          <w:szCs w:val="32"/>
        </w:rPr>
        <w:t>万元，占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sz w:val="32"/>
          <w:szCs w:val="32"/>
        </w:rPr>
        <w:t>%；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公共安全</w:t>
      </w:r>
      <w:r>
        <w:rPr>
          <w:rFonts w:hint="eastAsia" w:ascii="Times New Roman" w:hAnsi="Times New Roman" w:eastAsia="仿宋_GB2312"/>
          <w:sz w:val="32"/>
          <w:szCs w:val="32"/>
        </w:rPr>
        <w:t>（类）支出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6634.75</w:t>
      </w:r>
      <w:r>
        <w:rPr>
          <w:rFonts w:hint="eastAsia" w:ascii="Times New Roman" w:hAnsi="Times New Roman" w:eastAsia="仿宋_GB2312"/>
          <w:sz w:val="32"/>
          <w:szCs w:val="32"/>
        </w:rPr>
        <w:t>万元，占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87</w:t>
      </w:r>
      <w:r>
        <w:rPr>
          <w:rFonts w:hint="eastAsia" w:ascii="Times New Roman" w:hAnsi="Times New Roman" w:eastAsia="仿宋_GB2312"/>
          <w:sz w:val="32"/>
          <w:szCs w:val="32"/>
        </w:rPr>
        <w:t>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；社会保障和就业</w:t>
      </w:r>
      <w:r>
        <w:rPr>
          <w:rFonts w:hint="eastAsia" w:ascii="Times New Roman" w:hAnsi="Times New Roman" w:eastAsia="仿宋_GB2312"/>
          <w:sz w:val="32"/>
          <w:szCs w:val="32"/>
        </w:rPr>
        <w:t>（类）支出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500.32</w:t>
      </w:r>
      <w:r>
        <w:rPr>
          <w:rFonts w:hint="eastAsia" w:ascii="Times New Roman" w:hAnsi="Times New Roman" w:eastAsia="仿宋_GB2312"/>
          <w:sz w:val="32"/>
          <w:szCs w:val="32"/>
        </w:rPr>
        <w:t>万元，占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/>
          <w:sz w:val="32"/>
          <w:szCs w:val="32"/>
        </w:rPr>
        <w:t>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；卫生健康（</w:t>
      </w:r>
      <w:r>
        <w:rPr>
          <w:rFonts w:hint="eastAsia" w:ascii="Times New Roman" w:hAnsi="Times New Roman" w:eastAsia="仿宋_GB2312"/>
          <w:sz w:val="32"/>
          <w:szCs w:val="32"/>
        </w:rPr>
        <w:t>类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/>
          <w:sz w:val="32"/>
          <w:szCs w:val="32"/>
        </w:rPr>
        <w:t>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115.44</w:t>
      </w:r>
      <w:r>
        <w:rPr>
          <w:rFonts w:hint="eastAsia" w:ascii="Times New Roman" w:hAnsi="Times New Roman" w:eastAsia="仿宋_GB2312"/>
          <w:sz w:val="32"/>
          <w:szCs w:val="32"/>
        </w:rPr>
        <w:t>万元，占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；住房保障（类）支出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248.28</w:t>
      </w:r>
      <w:r>
        <w:rPr>
          <w:rFonts w:hint="eastAsia" w:ascii="Times New Roman" w:hAnsi="Times New Roman" w:eastAsia="仿宋_GB2312"/>
          <w:sz w:val="32"/>
          <w:szCs w:val="32"/>
        </w:rPr>
        <w:t>万元，占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sz w:val="32"/>
          <w:szCs w:val="32"/>
        </w:rPr>
        <w:t>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0A487B1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（三）一般公共预算财政拨款支出决算具体情况</w:t>
      </w:r>
    </w:p>
    <w:p w14:paraId="35FC6DB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年度财政拨款支出年初预算数为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5877.66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万元，支出决算数为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7628.71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万元，完成年初预算的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，其中：</w:t>
      </w:r>
    </w:p>
    <w:p w14:paraId="7A0CFC3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1、一般公共服务支出（类）政府办公厅及相关机构事务（款）行政运行（项）。</w:t>
      </w:r>
    </w:p>
    <w:p w14:paraId="6E718A0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年初预算为129.91万元，支出决算为129.91万元，完成年初预算的100%。</w:t>
      </w:r>
      <w:r>
        <w:rPr>
          <w:rFonts w:hint="eastAsia" w:ascii="Times New Roman" w:hAnsi="Times New Roman" w:eastAsia="仿宋_GB2312"/>
          <w:sz w:val="32"/>
          <w:szCs w:val="32"/>
        </w:rPr>
        <w:t>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3D5C0A1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2、公共安全支出（类）公安（款）其他公安支出（项）。</w:t>
      </w:r>
    </w:p>
    <w:p w14:paraId="3341B23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年初预算为48.2万元，支出决算为48.2万元，完成年初预算的100%。</w:t>
      </w:r>
      <w:r>
        <w:rPr>
          <w:rFonts w:hint="eastAsia" w:ascii="Times New Roman" w:hAnsi="Times New Roman" w:eastAsia="仿宋_GB2312"/>
          <w:sz w:val="32"/>
          <w:szCs w:val="32"/>
        </w:rPr>
        <w:t>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6B05CBF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3、公共安全支出（类）司法（款）行政运行（项）。</w:t>
      </w:r>
    </w:p>
    <w:p w14:paraId="5B7533D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年初预算为1586.65万元，支出决算为1591.67万元，完成年初预算的101%，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决算数大于年初预算数的主要原因是：年中追加了相关指标。</w:t>
      </w:r>
    </w:p>
    <w:p w14:paraId="2458513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4、公共安全支出（类）司法（款）一般行政管理事务（项）。</w:t>
      </w:r>
    </w:p>
    <w:p w14:paraId="3E5C403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年初预算为28.51万元，支出决算为28.51万元，完成年初预算的100%，</w:t>
      </w:r>
      <w:r>
        <w:rPr>
          <w:rFonts w:hint="eastAsia" w:ascii="Times New Roman" w:hAnsi="Times New Roman" w:eastAsia="仿宋_GB2312"/>
          <w:sz w:val="32"/>
          <w:szCs w:val="32"/>
        </w:rPr>
        <w:t>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12E664B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5、公共安全支出（类）司法（款）公共法律服务（项）。</w:t>
      </w:r>
    </w:p>
    <w:p w14:paraId="13788C9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8.6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56.24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653.95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于年初预算数的主要原因是：年中追加了相关指标。</w:t>
      </w:r>
    </w:p>
    <w:p w14:paraId="5B7852A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6、公共安全支出（类）司法（款）其他司法支出（项）。</w:t>
      </w:r>
    </w:p>
    <w:p w14:paraId="3B859F7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1068.97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1099.04</w:t>
      </w:r>
      <w:r>
        <w:rPr>
          <w:rFonts w:hint="eastAsia" w:ascii="Times New Roman" w:hAnsi="Times New Roman" w:eastAsia="仿宋_GB2312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103</w:t>
      </w:r>
      <w:r>
        <w:rPr>
          <w:rFonts w:hint="eastAsia" w:ascii="Times New Roman" w:hAnsi="Times New Roman" w:eastAsia="仿宋_GB2312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于年初预算数的主要原因是：年中追加了相关指标。</w:t>
      </w:r>
    </w:p>
    <w:p w14:paraId="51C101D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7、公共安全支出（类）强制隔离戒毒（款）行政运行（项）。</w:t>
      </w:r>
    </w:p>
    <w:p w14:paraId="153BDAB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1979.15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2131.46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107.7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单位工资调标，工资福利支出补差。</w:t>
      </w:r>
    </w:p>
    <w:p w14:paraId="52DAB34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8、公共安全支出（类）强制隔离戒毒（款）一般行政管理事务（项）。</w:t>
      </w:r>
    </w:p>
    <w:p w14:paraId="037A4E2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153.82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153.82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　</w:t>
      </w:r>
    </w:p>
    <w:p w14:paraId="34D5C31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9、公共安全支出（类）强制隔离戒毒（款）所政设施建设（项）。</w:t>
      </w:r>
    </w:p>
    <w:p w14:paraId="625E794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2BF0762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10、公共安全支出（类）强制隔离戒毒（款）其他强制隔离戒毒支出（项）。</w:t>
      </w:r>
    </w:p>
    <w:p w14:paraId="3F42E5A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1515.81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因年初预算为0无法计算百分比</w:t>
      </w:r>
      <w:r>
        <w:rPr>
          <w:rFonts w:hint="eastAsia" w:ascii="仿宋_GB2312" w:hAnsi="仿宋_GB2312" w:eastAsia="仿宋_GB2312" w:cs="仿宋_GB2312"/>
          <w:sz w:val="32"/>
          <w:szCs w:val="32"/>
        </w:rPr>
        <w:t>，决算数大于年初预算数的主要原因是：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年中追加搬所迁建资金。</w:t>
      </w:r>
    </w:p>
    <w:p w14:paraId="6CE41EE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11、社会保障和就业支出（类）行政事业单位养老支出（款）机关事业单位基本养老保险缴费支出（项）。</w:t>
      </w:r>
    </w:p>
    <w:p w14:paraId="15FBCAB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年初预算为358.29万元，支出决算为358.29万元，完成年初预算的100%。</w:t>
      </w:r>
      <w:r>
        <w:rPr>
          <w:rFonts w:hint="eastAsia" w:ascii="Times New Roman" w:hAnsi="Times New Roman" w:eastAsia="仿宋_GB2312"/>
          <w:sz w:val="32"/>
          <w:szCs w:val="32"/>
        </w:rPr>
        <w:t>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2BE15DE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12、社会保障和就业支出（类）抚恤（款）其他优抚支出（项）。</w:t>
      </w:r>
    </w:p>
    <w:p w14:paraId="1AEC780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年初预算为114.52万元，支出决算为114.52万元，完成年初预算的100%。</w:t>
      </w:r>
      <w:r>
        <w:rPr>
          <w:rFonts w:hint="eastAsia" w:ascii="Times New Roman" w:hAnsi="Times New Roman" w:eastAsia="仿宋_GB2312"/>
          <w:sz w:val="32"/>
          <w:szCs w:val="32"/>
        </w:rPr>
        <w:t>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198A55B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13、社会保障和就业支出（类）残疾人事业（款）其他残疾人事业支出（项）。</w:t>
      </w:r>
    </w:p>
    <w:p w14:paraId="5A63B78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年初预算为24.8万元，支出决算为24.8万元，完成年初预算的100%。</w:t>
      </w:r>
      <w:r>
        <w:rPr>
          <w:rFonts w:hint="eastAsia" w:ascii="Times New Roman" w:hAnsi="Times New Roman" w:eastAsia="仿宋_GB2312"/>
          <w:sz w:val="32"/>
          <w:szCs w:val="32"/>
        </w:rPr>
        <w:t>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28993F3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14、社会保障和就业支出（类）其他社会保障和就业支出（款）其他社会保障和就业支出（项）。</w:t>
      </w:r>
    </w:p>
    <w:p w14:paraId="248F966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年初预算为2.52万元，支出决算为2.71万元，完成年初预算的108%。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决算数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于年初预算数的主要原因是：年中追加了相关指标。</w:t>
      </w:r>
    </w:p>
    <w:p w14:paraId="31A8C79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15、卫生健康支出（类）行政事业单位医疗（款）行政单位医疗（项）。</w:t>
      </w:r>
    </w:p>
    <w:p w14:paraId="18CAB1B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年初预算为115.44万元，支出决算为115.44万元，完成年初预算的100%。</w:t>
      </w:r>
      <w:r>
        <w:rPr>
          <w:rFonts w:hint="eastAsia" w:ascii="Times New Roman" w:hAnsi="Times New Roman" w:eastAsia="仿宋_GB2312"/>
          <w:sz w:val="32"/>
          <w:szCs w:val="32"/>
        </w:rPr>
        <w:t>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38F733F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16、住房保障支出（类）住房改革支出（款）住房公积金（项）。</w:t>
      </w:r>
    </w:p>
    <w:p w14:paraId="1E7BD3AB">
      <w:pPr>
        <w:widowControl w:val="0"/>
        <w:autoSpaceDE w:val="0"/>
        <w:autoSpaceDN w:val="0"/>
        <w:adjustRightInd w:val="0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248.28</w:t>
      </w:r>
      <w:r>
        <w:rPr>
          <w:rFonts w:hint="eastAsia" w:ascii="Times New Roman" w:hAnsi="Times New Roman" w:eastAsia="仿宋_GB2312"/>
          <w:sz w:val="32"/>
          <w:szCs w:val="32"/>
        </w:rPr>
        <w:t>万元，支出决算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248.28</w:t>
      </w:r>
      <w:r>
        <w:rPr>
          <w:rFonts w:hint="eastAsia" w:ascii="Times New Roman" w:hAnsi="Times New Roman" w:eastAsia="仿宋_GB2312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100</w:t>
      </w:r>
      <w:r>
        <w:rPr>
          <w:rFonts w:hint="eastAsia" w:ascii="Times New Roman" w:hAnsi="Times New Roman" w:eastAsia="仿宋_GB2312"/>
          <w:sz w:val="32"/>
          <w:szCs w:val="32"/>
        </w:rPr>
        <w:t>%。主要原因是我单位严格按预算执行决算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无增减变动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51CD81D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 w14:paraId="4E7864C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5449.01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</w:p>
    <w:p w14:paraId="033FC8E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4962.22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</w:t>
      </w:r>
      <w:r>
        <w:rPr>
          <w:rFonts w:hint="eastAsia" w:ascii="Times New Roman" w:hAnsi="Times New Roman" w:eastAsia="仿宋_GB2312"/>
          <w:sz w:val="32"/>
          <w:szCs w:val="32"/>
        </w:rPr>
        <w:t>基本工资、津贴补贴、</w:t>
      </w:r>
      <w:r>
        <w:rPr>
          <w:rFonts w:hint="eastAsia" w:ascii="Times New Roman" w:hAnsi="Times New Roman" w:eastAsia="仿宋_GB2312"/>
          <w:sz w:val="32"/>
          <w:szCs w:val="32"/>
          <w:lang w:val="zh-CN"/>
        </w:rPr>
        <w:t>奖金、伙食补助费、绩效工资、机关事业单位基本养老保险缴费、职业年金缴费、职工基本医疗保险缴费、公务员医疗补助缴费、其他社会保障缴费、住房公积金、医疗费、其他工资福利支出、离休费、退休费、抚恤金、生活补助、医疗费补助、奖励金、其他对个人和家庭的补助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6006231F">
      <w:pPr>
        <w:pStyle w:val="14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486.79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</w:t>
      </w:r>
      <w:r>
        <w:rPr>
          <w:rFonts w:hint="eastAsia" w:ascii="Times New Roman" w:hAnsi="Times New Roman" w:eastAsia="仿宋_GB2312"/>
          <w:sz w:val="32"/>
          <w:szCs w:val="32"/>
          <w:lang w:val="zh-CN"/>
        </w:rPr>
        <w:t>办公费、印刷费、咨询费、手续费、水费、电费、邮电费、取暖费、物业管理费、差旅费、因公出国（境）费用、维修（护）费、租赁费、会议费、培训费、公务接待费、专用材料费、劳务费、委托业务费、工会经费、福利费、公务用车运行维护费、其他交通费用、税金及附加费用、其他商品和服务支出、办公设备购置、专用设备购置、信息网络及软件购置更新、公务用车购置、其他交通工具购置、文物和陈列品购置、无形资产购置、其他资本性支出、赠与。</w:t>
      </w:r>
    </w:p>
    <w:p w14:paraId="61497A7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七、政府性基金预算收入支出决算情况</w:t>
      </w:r>
    </w:p>
    <w:p w14:paraId="6FEDD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  <w:t>2025年度政府性基金预算财政拨款收入0万元；年初结转和结余0万元；支出0万元，其中基本支出0万元，项目支出0万元；年末结转和结余0万元。</w:t>
      </w:r>
    </w:p>
    <w:p w14:paraId="19744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八、国有资本经营预算财政拨款支出决算情况</w:t>
      </w:r>
    </w:p>
    <w:p w14:paraId="146978A8">
      <w:pPr>
        <w:pStyle w:val="14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2025年度国有资本经营预算财政拨款收入0万元；年初结转和结余0万；支出0万元，其中：基本支出0万元，项目支出0万元；年末结转和结余0万元。</w:t>
      </w:r>
    </w:p>
    <w:p w14:paraId="19B87A9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 w14:paraId="1EB558B8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 w14:paraId="7D90608D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33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20.75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63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32.47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56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严格按预算执行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上年购置一台公务用车，今年无公务用车购置开支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5E1EB5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 w14:paraId="548AB322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决算数等于预算数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，主要原因是我单位严格按预算执行决算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与上年一致，无增减变动，主要原因是未安排因公出国（境）活动。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度安排因公出国（境）团组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4C7448E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17.99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67%</w:t>
      </w:r>
      <w:r>
        <w:rPr>
          <w:rFonts w:ascii="Times New Roman" w:hAnsi="Times New Roman" w:eastAsia="仿宋_GB2312" w:cs="Times New Roman"/>
          <w:sz w:val="32"/>
          <w:szCs w:val="32"/>
        </w:rPr>
        <w:t>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39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 w14:paraId="7344C25E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决算数等于预算数，主要原因是我单位严格按预算执行决算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16.9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厉行节约，减少开支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本单位</w:t>
      </w:r>
      <w:r>
        <w:rPr>
          <w:rFonts w:ascii="Times New Roman" w:hAnsi="Times New Roman" w:eastAsia="仿宋_GB2312" w:cs="Times New Roman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ABB12C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FF0000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17.99</w:t>
      </w:r>
      <w:r>
        <w:rPr>
          <w:rFonts w:ascii="Times New Roman" w:hAnsi="Times New Roman" w:eastAsia="仿宋_GB2312" w:cs="Times New Roman"/>
          <w:sz w:val="32"/>
          <w:szCs w:val="32"/>
        </w:rPr>
        <w:t>万元，主要是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车辆维修、车辆用油等</w:t>
      </w:r>
      <w:r>
        <w:rPr>
          <w:rFonts w:ascii="Times New Roman" w:hAnsi="Times New Roman" w:eastAsia="仿宋_GB2312" w:cs="Times New Roman"/>
          <w:sz w:val="32"/>
          <w:szCs w:val="32"/>
        </w:rPr>
        <w:t>支出，完成预算的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严格按照预算执行</w:t>
      </w:r>
      <w:r>
        <w:rPr>
          <w:rFonts w:ascii="Times New Roman" w:hAnsi="Times New Roman" w:eastAsia="仿宋_GB2312" w:cs="Times New Roman"/>
          <w:sz w:val="32"/>
          <w:szCs w:val="32"/>
        </w:rPr>
        <w:t>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小于</w:t>
      </w:r>
      <w:r>
        <w:rPr>
          <w:rFonts w:ascii="Times New Roman" w:hAnsi="Times New Roman" w:eastAsia="仿宋_GB2312" w:cs="Times New Roman"/>
          <w:sz w:val="32"/>
          <w:szCs w:val="32"/>
        </w:rPr>
        <w:t>上年数的主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要原因是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厉行节约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年12月31日，我单位开支财政拨款的公务用车保有量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辆。</w:t>
      </w:r>
    </w:p>
    <w:p w14:paraId="272A74AD">
      <w:pPr>
        <w:numPr>
          <w:ilvl w:val="0"/>
          <w:numId w:val="4"/>
        </w:num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2.76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46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1.61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37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严格按照预算执行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厉行节约，减少开支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sz w:val="32"/>
          <w:szCs w:val="32"/>
        </w:rPr>
        <w:t>年度共接待来访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团组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35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314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人次，</w:t>
      </w:r>
      <w:r>
        <w:rPr>
          <w:rFonts w:ascii="Times New Roman" w:hAnsi="Times New Roman" w:eastAsia="仿宋_GB2312" w:cs="Times New Roman"/>
          <w:sz w:val="32"/>
          <w:szCs w:val="32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上下级汇报工作、考察、督查</w:t>
      </w:r>
      <w:r>
        <w:rPr>
          <w:rFonts w:ascii="Times New Roman" w:hAnsi="Times New Roman" w:eastAsia="仿宋_GB2312" w:cs="Times New Roman"/>
          <w:sz w:val="32"/>
          <w:szCs w:val="32"/>
        </w:rPr>
        <w:t>发生的接待支出。</w:t>
      </w:r>
    </w:p>
    <w:p w14:paraId="23DD4F9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</w:rPr>
        <w:t>、关于机关运行经费支出说明</w:t>
      </w:r>
    </w:p>
    <w:p w14:paraId="22D879A8">
      <w:pPr>
        <w:pStyle w:val="14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年度机关运行经费支出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486.79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与年初预算数基本持平，主要原因是：按照年初预算合理规划开支。与上年相比，增加4.93万元，增长1%。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主要原因是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本年度履职任务增多，相应保障支出同步增长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。</w:t>
      </w:r>
    </w:p>
    <w:p w14:paraId="6B9741A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 w14:paraId="59F7165D">
      <w:pPr>
        <w:pStyle w:val="1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本单位无会议费的预算和支出决算数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CB342A7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培训费年初预算18.88万元，支出决算为18.88万元，完成年初预算的100%。用于开展干部业务能力和政治思想培训，人数287人，内容为党校培训和法律业务能力培训。</w:t>
      </w:r>
    </w:p>
    <w:p w14:paraId="15F4F780">
      <w:pPr>
        <w:pStyle w:val="14"/>
        <w:ind w:firstLine="640" w:firstLineChars="200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本单位无举办节庆、晚会、论坛、赛事等活动的预算和支出决算数。</w:t>
      </w:r>
    </w:p>
    <w:p w14:paraId="74A3F8F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 w14:paraId="2A7FC39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/>
          <w:i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本部门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2025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年度政府采购支出总额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万元，其中：政府采购货物支出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万元、政府采购工程支出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万元、政府采购服务支出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万元。授予中小企业合同金额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（由于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政府采购支出总额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0，故无法计算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占政府采购支出总额的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比重）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，其中：授予小微企业合同金额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（由于授予中小企业合同金额为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0，故无法计算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占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授予中小企业合同金额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的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比重）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。货物采购授予中小企业合同金额占货物支出金额的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比重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，工程采购授予中小企业合同金额占工程支出金额的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比重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，服务采购授予中小企业合同金额占服务支出金额的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比重，由于以上各项合同金额为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0，故无法计算各项占比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。</w:t>
      </w:r>
    </w:p>
    <w:p w14:paraId="3B5B5DE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 w14:paraId="40FF36C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/>
          <w:color w:val="auto"/>
          <w:sz w:val="32"/>
          <w:szCs w:val="32"/>
          <w:lang w:val="en-US" w:eastAsia="zh-CN"/>
        </w:rPr>
        <w:t>截至2025年12月31日，本单位共有车辆8辆，其中，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副部（省）级及以上领导用车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机要通信用车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辆、应急保障用车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辆、执法执勤用车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辆、特种专业技术用车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离退休干部服务用车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辆、其他用车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辆；单位价值100万元以上设备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（不含车辆）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台（套）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6B141B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年度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 w14:paraId="34443C64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 w14:paraId="4DDF88D0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年度本部门整体支出开展绩效自评，涉及项目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1445.8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1445.8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19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 w14:paraId="2FC76ED5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本单位及所属单位本年度未开展项目，所以无部门评价开展情况。</w:t>
      </w:r>
    </w:p>
    <w:p w14:paraId="40EDB7D0">
      <w:pPr>
        <w:overflowPunct w:val="0"/>
        <w:spacing w:line="600" w:lineRule="exact"/>
        <w:ind w:firstLine="640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事前绩效评估开展情况。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本单位及所属单位本年度未新增重大政策和重大项目，所以无事前绩效评估开展情况。</w:t>
      </w:r>
    </w:p>
    <w:p w14:paraId="07D1A48B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 w14:paraId="04F7F0E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年度本部门整体支出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7678.88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7678.88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99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一是本年预算配置控制较好，财政供养人员控制在预算编制以内,三公经费控制得较好；二是资产管理方面，建立了资产管理制度，对全局资产进行了详细的盘点，设置各科室资产管理员，做好资产台账，加强对资产的管理。实现了实物资产的“一物一卡一条码”，总体执行较好；三是社会效益指标方面，坚持“应援尽援优援”的服务理念，以服务民生为己任，进一步扩大法律援助范围，将触角努力延伸至低收入群体，加强法律援助“绿色通道”建设，努力提供便民利民的援助服务，加大对刑事案件的援助力度。一年来，全市办理法援案件2101件，接待现场咨询6100余人次，12348热线服务近万人次，案件回访满意率100%。</w:t>
      </w:r>
    </w:p>
    <w:p w14:paraId="2111E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发现的主要问题及原因：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一是整体支出的预算编制、执行和管理过程中，依然存在一些问题和不足；二是对绩效考评的结果利用的范围有限，缺乏长效机制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309B6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下一步改进措施：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一是加强对财务人员和相关管理人员的业务培训，提高相关人员的业务能力和素质；二是坚持财务分析常态化。定期做好支出预算财务分析，及时对费用预算执行情况进行通报和预警，定期对下属预算单位的预算执行情况进行检查，做好部门整体支出预算评价工作。</w:t>
      </w:r>
    </w:p>
    <w:p w14:paraId="11AAC27C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本单位及所属单位本年度未开展部门评价，所以无部门评价结果。</w:t>
      </w:r>
    </w:p>
    <w:p w14:paraId="226E3DA8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本单位及所属单位本年度未开展事前绩效评估，所以无事前绩效评估结果。</w:t>
      </w:r>
    </w:p>
    <w:p w14:paraId="71AE0EA2">
      <w:pPr>
        <w:numPr>
          <w:ilvl w:val="0"/>
          <w:numId w:val="5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 w14:paraId="042341A5">
      <w:pPr>
        <w:widowControl/>
        <w:spacing w:line="64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eastAsia="仿宋" w:cs="仿宋"/>
          <w:bCs/>
          <w:sz w:val="32"/>
          <w:szCs w:val="32"/>
          <w:lang w:val="en-US" w:eastAsia="zh-CN"/>
        </w:rPr>
        <w:t>2025年度要</w:t>
      </w:r>
      <w:r>
        <w:rPr>
          <w:rFonts w:hint="eastAsia" w:eastAsia="仿宋" w:cs="仿宋"/>
          <w:bCs/>
          <w:sz w:val="32"/>
          <w:szCs w:val="32"/>
        </w:rPr>
        <w:t>严格落实“先有预算后有支出”，实时监控各项经费使用情况。贯彻落实党中央、国务院关于过“紧日子”和坚持厉行节约反对浪费有关要求，继续压缩一般性支出，保障重点项目开支。</w:t>
      </w:r>
      <w:r>
        <w:rPr>
          <w:rFonts w:hint="eastAsia" w:eastAsia="仿宋" w:cs="仿宋"/>
          <w:bCs/>
          <w:sz w:val="32"/>
          <w:szCs w:val="32"/>
          <w:lang w:eastAsia="zh-CN"/>
        </w:rPr>
        <w:t>建</w:t>
      </w:r>
      <w:r>
        <w:rPr>
          <w:rFonts w:hint="eastAsia" w:eastAsia="仿宋" w:cs="仿宋"/>
          <w:bCs/>
          <w:sz w:val="32"/>
          <w:szCs w:val="32"/>
        </w:rPr>
        <w:t>立绩效监控结果的反馈与整改、激励与问责制度，将监控结果作为预算调整的重要依据。发现预算支出绩效运行与年初计划发生偏离时，及时采取措施予以纠正</w:t>
      </w:r>
      <w:r>
        <w:rPr>
          <w:rFonts w:hint="eastAsia" w:eastAsia="仿宋" w:cs="仿宋"/>
          <w:bCs/>
          <w:sz w:val="32"/>
          <w:szCs w:val="32"/>
          <w:lang w:eastAsia="zh-CN"/>
        </w:rPr>
        <w:t>。同时要</w:t>
      </w:r>
      <w:r>
        <w:rPr>
          <w:rFonts w:hint="eastAsia" w:eastAsia="仿宋" w:cs="仿宋"/>
          <w:bCs/>
          <w:sz w:val="32"/>
          <w:szCs w:val="32"/>
        </w:rPr>
        <w:t>广泛参加各类业务知识培训</w:t>
      </w:r>
      <w:r>
        <w:rPr>
          <w:rFonts w:hint="eastAsia" w:eastAsia="仿宋" w:cs="仿宋"/>
          <w:bCs/>
          <w:sz w:val="32"/>
          <w:szCs w:val="32"/>
          <w:lang w:eastAsia="zh-CN"/>
        </w:rPr>
        <w:t>，</w:t>
      </w:r>
      <w:r>
        <w:rPr>
          <w:rFonts w:hint="eastAsia" w:eastAsia="仿宋" w:cs="仿宋"/>
          <w:bCs/>
          <w:sz w:val="32"/>
          <w:szCs w:val="32"/>
        </w:rPr>
        <w:t>不断提高业务能力、知识水平及综合协调能力</w:t>
      </w:r>
      <w:r>
        <w:rPr>
          <w:rFonts w:hint="eastAsia" w:eastAsia="仿宋" w:cs="仿宋"/>
          <w:bCs/>
          <w:sz w:val="32"/>
          <w:szCs w:val="32"/>
          <w:lang w:eastAsia="zh-CN"/>
        </w:rPr>
        <w:t>，</w:t>
      </w:r>
      <w:r>
        <w:rPr>
          <w:rFonts w:hint="eastAsia" w:eastAsia="仿宋" w:cs="仿宋"/>
          <w:bCs/>
          <w:sz w:val="32"/>
          <w:szCs w:val="32"/>
        </w:rPr>
        <w:t>贯彻落实全面实施预算绩效管理和新会计制度改革的新要求，进一步提升绩效管理人员的业务素质。</w:t>
      </w:r>
    </w:p>
    <w:p w14:paraId="5062F48A"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 w14:paraId="1CB249D8">
      <w:pPr>
        <w:pStyle w:val="8"/>
        <w:rPr>
          <w:rFonts w:hint="eastAsia"/>
          <w:lang w:val="en-US" w:eastAsia="zh-CN"/>
        </w:rPr>
      </w:pPr>
    </w:p>
    <w:p w14:paraId="4447768C"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楷体" w:hAnsi="楷体" w:eastAsia="楷体" w:cs="楷体"/>
          <w:b/>
          <w:bCs/>
          <w:i w:val="0"/>
          <w:iCs w:val="0"/>
          <w:color w:val="FF0000"/>
          <w:kern w:val="0"/>
          <w:sz w:val="36"/>
          <w:szCs w:val="36"/>
          <w:lang w:val="en-US" w:eastAsia="zh-CN"/>
        </w:rPr>
      </w:pPr>
    </w:p>
    <w:p w14:paraId="02EA424B">
      <w:pPr>
        <w:pStyle w:val="14"/>
        <w:jc w:val="both"/>
        <w:rPr>
          <w:rFonts w:hint="eastAsia" w:ascii="方正小标宋_GBK" w:hAnsi="方正小标宋_GBK" w:eastAsia="方正小标宋_GBK" w:cs="方正小标宋_GBK"/>
          <w:sz w:val="24"/>
          <w:szCs w:val="24"/>
        </w:rPr>
      </w:pPr>
      <w:bookmarkStart w:id="0" w:name="_GoBack"/>
      <w:bookmarkEnd w:id="0"/>
    </w:p>
    <w:p w14:paraId="0BC47024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58562588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70BB504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B5775C4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65096A4E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 w14:paraId="1B9601C9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 w14:paraId="78D55EA5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 w14:paraId="74DC5CCA">
      <w:pPr>
        <w:pStyle w:val="8"/>
      </w:pPr>
    </w:p>
    <w:p w14:paraId="592C92F0">
      <w:pPr>
        <w:pStyle w:val="5"/>
      </w:pPr>
    </w:p>
    <w:p w14:paraId="154323AF"/>
    <w:p w14:paraId="3F5E90CE">
      <w:pPr>
        <w:pStyle w:val="8"/>
      </w:pPr>
    </w:p>
    <w:p w14:paraId="2C6B65AA">
      <w:pPr>
        <w:pStyle w:val="5"/>
      </w:pPr>
    </w:p>
    <w:p w14:paraId="1C9F58C3"/>
    <w:p w14:paraId="4794043B">
      <w:pPr>
        <w:pStyle w:val="8"/>
      </w:pPr>
    </w:p>
    <w:p w14:paraId="6CB9F471">
      <w:pPr>
        <w:pStyle w:val="5"/>
      </w:pPr>
    </w:p>
    <w:p w14:paraId="538CF4D3"/>
    <w:p w14:paraId="69F1F119">
      <w:pPr>
        <w:pStyle w:val="8"/>
      </w:pPr>
    </w:p>
    <w:p w14:paraId="796511B2">
      <w:pPr>
        <w:pStyle w:val="5"/>
      </w:pPr>
    </w:p>
    <w:p w14:paraId="03125606"/>
    <w:p w14:paraId="4409F626">
      <w:pPr>
        <w:pStyle w:val="8"/>
      </w:pPr>
    </w:p>
    <w:p w14:paraId="32A9C95A">
      <w:pPr>
        <w:pStyle w:val="5"/>
      </w:pPr>
    </w:p>
    <w:p w14:paraId="3F959DAE"/>
    <w:p w14:paraId="3C03E183">
      <w:pPr>
        <w:pStyle w:val="8"/>
      </w:pPr>
    </w:p>
    <w:p w14:paraId="0BED5A9A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B3F6969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C2EF369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62BA161C">
      <w:pPr>
        <w:pStyle w:val="8"/>
        <w:rPr>
          <w:rFonts w:hint="eastAsia"/>
        </w:rPr>
      </w:pPr>
    </w:p>
    <w:p w14:paraId="546B84D3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5AE8607F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1C67A294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 w14:paraId="4B8164B3">
      <w:pPr>
        <w:pStyle w:val="14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0580C8">
      <w:pPr>
        <w:pStyle w:val="5"/>
      </w:pPr>
    </w:p>
    <w:p w14:paraId="54462497"/>
    <w:p w14:paraId="172E5387">
      <w:pPr>
        <w:pStyle w:val="8"/>
      </w:pPr>
    </w:p>
    <w:p w14:paraId="58F73AD7">
      <w:pPr>
        <w:pStyle w:val="5"/>
      </w:pPr>
    </w:p>
    <w:p w14:paraId="4D5620DE"/>
    <w:p w14:paraId="1F84C1A9">
      <w:pPr>
        <w:pStyle w:val="8"/>
      </w:pPr>
    </w:p>
    <w:p w14:paraId="29808D13">
      <w:pPr>
        <w:pStyle w:val="5"/>
      </w:pPr>
    </w:p>
    <w:p w14:paraId="3BA88BFD"/>
    <w:p w14:paraId="4BC17501">
      <w:pPr>
        <w:pStyle w:val="8"/>
      </w:pPr>
    </w:p>
    <w:p w14:paraId="422A9D20">
      <w:pPr>
        <w:pStyle w:val="5"/>
      </w:pPr>
    </w:p>
    <w:p w14:paraId="66859654"/>
    <w:p w14:paraId="1EEF6546">
      <w:pPr>
        <w:pStyle w:val="8"/>
      </w:pPr>
    </w:p>
    <w:p w14:paraId="7DA7A327">
      <w:pPr>
        <w:pStyle w:val="5"/>
      </w:pPr>
    </w:p>
    <w:p w14:paraId="35106C14"/>
    <w:p w14:paraId="35071FE9">
      <w:pPr>
        <w:pStyle w:val="8"/>
      </w:pPr>
    </w:p>
    <w:p w14:paraId="045FE0E5">
      <w:pPr>
        <w:pStyle w:val="5"/>
      </w:pPr>
    </w:p>
    <w:p w14:paraId="21B8111F"/>
    <w:p w14:paraId="02A5A658">
      <w:pPr>
        <w:pStyle w:val="8"/>
      </w:pPr>
    </w:p>
    <w:p w14:paraId="0E5EC833">
      <w:pPr>
        <w:pStyle w:val="5"/>
      </w:pPr>
    </w:p>
    <w:p w14:paraId="41CDCCF7"/>
    <w:p w14:paraId="5DD2FAC0"/>
    <w:p w14:paraId="73CB4F4B">
      <w:pPr>
        <w:pStyle w:val="8"/>
      </w:pPr>
    </w:p>
    <w:p w14:paraId="6DCCDA74">
      <w:pPr>
        <w:pStyle w:val="14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27815904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 w14:paraId="75EBF99A">
      <w:pPr>
        <w:pStyle w:val="14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 w14:paraId="306004C9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 w14:paraId="137F05FA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 w14:paraId="59FA5E5B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年部门决算公开表格</w:t>
      </w:r>
    </w:p>
    <w:p w14:paraId="4438B3B7"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年度部门整体支出绩效评价报告</w:t>
      </w:r>
    </w:p>
    <w:p w14:paraId="450BA1A6"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1229B2A"/>
    <w:multiLevelType w:val="singleLevel"/>
    <w:tmpl w:val="E1229B2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E3CBC331"/>
    <w:multiLevelType w:val="singleLevel"/>
    <w:tmpl w:val="E3CBC33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6F99E03"/>
    <w:multiLevelType w:val="singleLevel"/>
    <w:tmpl w:val="76F99E0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9958AD"/>
    <w:rsid w:val="06C857E7"/>
    <w:rsid w:val="08296773"/>
    <w:rsid w:val="08C24A73"/>
    <w:rsid w:val="0A345768"/>
    <w:rsid w:val="0C812518"/>
    <w:rsid w:val="0E8633C5"/>
    <w:rsid w:val="1118101A"/>
    <w:rsid w:val="11944E2C"/>
    <w:rsid w:val="11F41C82"/>
    <w:rsid w:val="12583BA5"/>
    <w:rsid w:val="13BA5B9C"/>
    <w:rsid w:val="1B554868"/>
    <w:rsid w:val="1D97DEFF"/>
    <w:rsid w:val="1DFF72E5"/>
    <w:rsid w:val="1EFC6F07"/>
    <w:rsid w:val="1F0527A6"/>
    <w:rsid w:val="20780698"/>
    <w:rsid w:val="22AC03C2"/>
    <w:rsid w:val="23091765"/>
    <w:rsid w:val="283B15FE"/>
    <w:rsid w:val="2CA9202C"/>
    <w:rsid w:val="2FDF85B8"/>
    <w:rsid w:val="2FEF2C1A"/>
    <w:rsid w:val="2FFFEE04"/>
    <w:rsid w:val="31C95635"/>
    <w:rsid w:val="34DF85B0"/>
    <w:rsid w:val="35EB1B74"/>
    <w:rsid w:val="39287DA4"/>
    <w:rsid w:val="3A195161"/>
    <w:rsid w:val="3A584C46"/>
    <w:rsid w:val="3B8F36BC"/>
    <w:rsid w:val="3BD33BB4"/>
    <w:rsid w:val="43EB5BA5"/>
    <w:rsid w:val="4763732D"/>
    <w:rsid w:val="487274EA"/>
    <w:rsid w:val="491FF225"/>
    <w:rsid w:val="4A033A68"/>
    <w:rsid w:val="4A1D44BA"/>
    <w:rsid w:val="4C675DE6"/>
    <w:rsid w:val="4CC25688"/>
    <w:rsid w:val="4EC310A1"/>
    <w:rsid w:val="4FFD214C"/>
    <w:rsid w:val="52F36CA6"/>
    <w:rsid w:val="5352765A"/>
    <w:rsid w:val="53871716"/>
    <w:rsid w:val="54B6568B"/>
    <w:rsid w:val="55FF651E"/>
    <w:rsid w:val="56CD27F8"/>
    <w:rsid w:val="56F46807"/>
    <w:rsid w:val="5777D4F5"/>
    <w:rsid w:val="57F22B6F"/>
    <w:rsid w:val="59DD8326"/>
    <w:rsid w:val="5B152C85"/>
    <w:rsid w:val="5DEF592A"/>
    <w:rsid w:val="5F9F501F"/>
    <w:rsid w:val="5FC6BB1E"/>
    <w:rsid w:val="5FF720F1"/>
    <w:rsid w:val="60FF486D"/>
    <w:rsid w:val="622964C1"/>
    <w:rsid w:val="67FF5C0B"/>
    <w:rsid w:val="6BAA4A2F"/>
    <w:rsid w:val="6DDEC5C0"/>
    <w:rsid w:val="6EFC0924"/>
    <w:rsid w:val="6F530CE9"/>
    <w:rsid w:val="6F8D76AE"/>
    <w:rsid w:val="6FB74722"/>
    <w:rsid w:val="6FEF8B7E"/>
    <w:rsid w:val="717FE77F"/>
    <w:rsid w:val="71A6591B"/>
    <w:rsid w:val="73504F1A"/>
    <w:rsid w:val="737D59BA"/>
    <w:rsid w:val="737F32B1"/>
    <w:rsid w:val="73BD3FCA"/>
    <w:rsid w:val="73D62E1B"/>
    <w:rsid w:val="776BDA01"/>
    <w:rsid w:val="77C37683"/>
    <w:rsid w:val="79FF515B"/>
    <w:rsid w:val="7A372289"/>
    <w:rsid w:val="7A993E33"/>
    <w:rsid w:val="7D145B0F"/>
    <w:rsid w:val="7DFBFF20"/>
    <w:rsid w:val="7E9E1962"/>
    <w:rsid w:val="7E9F11B4"/>
    <w:rsid w:val="7F37EC1E"/>
    <w:rsid w:val="7F7C0DDA"/>
    <w:rsid w:val="7F7DCD9D"/>
    <w:rsid w:val="7F970A6F"/>
    <w:rsid w:val="7FC1FFF3"/>
    <w:rsid w:val="7FC69637"/>
    <w:rsid w:val="7FDF8620"/>
    <w:rsid w:val="7FE83C65"/>
    <w:rsid w:val="7FFB242F"/>
    <w:rsid w:val="7FFDB408"/>
    <w:rsid w:val="7FFE4EEB"/>
    <w:rsid w:val="95FB2B98"/>
    <w:rsid w:val="9A639BC2"/>
    <w:rsid w:val="9FF7D786"/>
    <w:rsid w:val="ABBFB23D"/>
    <w:rsid w:val="B6BE5A03"/>
    <w:rsid w:val="B8C93228"/>
    <w:rsid w:val="C3B4DA5A"/>
    <w:rsid w:val="C4FF458C"/>
    <w:rsid w:val="C7BBD038"/>
    <w:rsid w:val="CBFF70E0"/>
    <w:rsid w:val="CFF50B82"/>
    <w:rsid w:val="CFFFAD89"/>
    <w:rsid w:val="DFFE359E"/>
    <w:rsid w:val="DFFE4FFD"/>
    <w:rsid w:val="DFFF5403"/>
    <w:rsid w:val="EBC3E00A"/>
    <w:rsid w:val="EDFBE100"/>
    <w:rsid w:val="EEABED75"/>
    <w:rsid w:val="EF7E8003"/>
    <w:rsid w:val="F56FDF51"/>
    <w:rsid w:val="F5F3EE78"/>
    <w:rsid w:val="F6B69F17"/>
    <w:rsid w:val="F6E5BB3A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94102"/>
    <w:rsid w:val="FFFF1C8B"/>
    <w:rsid w:val="FF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Indent"/>
    <w:basedOn w:val="1"/>
    <w:next w:val="5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footnote text"/>
    <w:basedOn w:val="1"/>
    <w:next w:val="5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customStyle="1" w:styleId="12">
    <w:name w:val="页眉 Char"/>
    <w:basedOn w:val="11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1"/>
    <w:link w:val="6"/>
    <w:semiHidden/>
    <w:qFormat/>
    <w:uiPriority w:val="99"/>
    <w:rPr>
      <w:sz w:val="18"/>
      <w:szCs w:val="18"/>
    </w:rPr>
  </w:style>
  <w:style w:type="character" w:customStyle="1" w:styleId="17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18</Pages>
  <Words>3943</Words>
  <Characters>4365</Characters>
  <Lines>63</Lines>
  <Paragraphs>18</Paragraphs>
  <TotalTime>11</TotalTime>
  <ScaleCrop>false</ScaleCrop>
  <LinksUpToDate>false</LinksUpToDate>
  <CharactersWithSpaces>4380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2020-07-10T18:32:00Z</dcterms:created>
  <dc:creator>李航 null</dc:creator>
  <cp:lastModifiedBy>K</cp:lastModifiedBy>
  <cp:lastPrinted>2026-09-20T03:14:00Z</cp:lastPrinted>
  <dcterms:modified xsi:type="dcterms:W3CDTF">2026-09-29T08:48:09Z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E673C78E3C104F38B0529B0B605F3EA3</vt:lpwstr>
  </property>
  <property fmtid="{D5CDD505-2E9C-101B-9397-08002B2CF9AE}" pid="4" name="KSOTemplateDocerSaveRecord">
    <vt:lpwstr>eyJoZGlkIjoiNDQxMGEyNWFhZjQ5MzMwY2U0OTIxZThmODgyMjJjODgiLCJ1c2VySWQiOiI2NDkzMjYwNDUifQ==</vt:lpwstr>
  </property>
</Properties>
</file>