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A1158">
      <w:pPr>
        <w:pStyle w:val="12"/>
        <w:jc w:val="center"/>
        <w:rPr>
          <w:sz w:val="56"/>
          <w:szCs w:val="56"/>
        </w:rPr>
      </w:pPr>
    </w:p>
    <w:p w14:paraId="2FC9D43E">
      <w:pPr>
        <w:pStyle w:val="12"/>
        <w:jc w:val="center"/>
        <w:rPr>
          <w:sz w:val="56"/>
          <w:szCs w:val="56"/>
        </w:rPr>
      </w:pPr>
    </w:p>
    <w:p w14:paraId="05B518ED">
      <w:pPr>
        <w:pStyle w:val="12"/>
        <w:jc w:val="center"/>
        <w:rPr>
          <w:sz w:val="84"/>
          <w:szCs w:val="84"/>
        </w:rPr>
      </w:pPr>
    </w:p>
    <w:p w14:paraId="4306E3D4">
      <w:pPr>
        <w:pStyle w:val="12"/>
        <w:jc w:val="center"/>
        <w:rPr>
          <w:sz w:val="84"/>
          <w:szCs w:val="84"/>
        </w:rPr>
      </w:pPr>
    </w:p>
    <w:p w14:paraId="7836D7A8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度</w:t>
      </w:r>
    </w:p>
    <w:p w14:paraId="476283A6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岳阳市法律援助中心</w:t>
      </w:r>
    </w:p>
    <w:p w14:paraId="7E5A467F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</w:t>
      </w:r>
    </w:p>
    <w:p w14:paraId="6D52A8EA">
      <w:pPr>
        <w:pStyle w:val="12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 w14:paraId="70298969">
      <w:pPr>
        <w:pStyle w:val="12"/>
        <w:jc w:val="center"/>
        <w:rPr>
          <w:sz w:val="56"/>
          <w:szCs w:val="56"/>
        </w:rPr>
      </w:pPr>
    </w:p>
    <w:p w14:paraId="2FAB9C66">
      <w:pPr>
        <w:pStyle w:val="12"/>
        <w:jc w:val="center"/>
        <w:rPr>
          <w:sz w:val="56"/>
          <w:szCs w:val="56"/>
        </w:rPr>
      </w:pPr>
    </w:p>
    <w:p w14:paraId="5EB42E63">
      <w:pPr>
        <w:pStyle w:val="12"/>
        <w:jc w:val="center"/>
        <w:rPr>
          <w:sz w:val="56"/>
          <w:szCs w:val="56"/>
        </w:rPr>
      </w:pPr>
    </w:p>
    <w:p w14:paraId="0106DA13">
      <w:pPr>
        <w:pStyle w:val="12"/>
        <w:jc w:val="center"/>
        <w:rPr>
          <w:sz w:val="32"/>
          <w:szCs w:val="32"/>
        </w:rPr>
      </w:pPr>
    </w:p>
    <w:p w14:paraId="05E81BEB">
      <w:pPr>
        <w:pStyle w:val="12"/>
        <w:jc w:val="center"/>
        <w:rPr>
          <w:sz w:val="32"/>
          <w:szCs w:val="32"/>
        </w:rPr>
      </w:pPr>
    </w:p>
    <w:p w14:paraId="5872D9B6">
      <w:pPr>
        <w:pStyle w:val="12"/>
        <w:jc w:val="center"/>
        <w:rPr>
          <w:sz w:val="32"/>
          <w:szCs w:val="32"/>
        </w:rPr>
      </w:pPr>
    </w:p>
    <w:p w14:paraId="774657C5">
      <w:pPr>
        <w:pStyle w:val="12"/>
        <w:spacing w:line="500" w:lineRule="exact"/>
        <w:jc w:val="both"/>
        <w:rPr>
          <w:b/>
          <w:sz w:val="36"/>
          <w:szCs w:val="28"/>
        </w:rPr>
      </w:pPr>
    </w:p>
    <w:p w14:paraId="7E02C6BD">
      <w:pPr>
        <w:pStyle w:val="12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 w14:paraId="37E88505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/>
          <w:bCs/>
          <w:sz w:val="28"/>
          <w:szCs w:val="28"/>
        </w:rPr>
        <w:t>岳阳市法律援助中心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概况</w:t>
      </w:r>
    </w:p>
    <w:p w14:paraId="4F938BAD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 w14:paraId="218CCBC1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 w14:paraId="5CC0914F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 w14:paraId="6293DF2E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 w14:paraId="3DEE2DE6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 w14:paraId="0D01ADA0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 w14:paraId="34F7F7FC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 w14:paraId="39450A9F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 w14:paraId="240271D1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 w14:paraId="71751109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 w14:paraId="6BDDAA8D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 w14:paraId="7673A5F7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 w14:paraId="27E7FDC4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 w14:paraId="07A69E1E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 w14:paraId="1672A445"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 w14:paraId="6FC00227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 w14:paraId="19C8A06D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 w14:paraId="027F2E2C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 w14:paraId="27DFBAFC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 w14:paraId="6B2F0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 w14:paraId="1DBE5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 w14:paraId="0CDE5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 w14:paraId="5DA9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 w14:paraId="1CF5B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 w14:paraId="4F66C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 w14:paraId="24384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 w14:paraId="19031734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 w14:paraId="21BC4CED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 w14:paraId="051F4053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 w14:paraId="5A581070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EA1D78F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21A31754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 xml:space="preserve">第一部分 </w:t>
      </w:r>
    </w:p>
    <w:p w14:paraId="7781B6FA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409E1B4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84"/>
          <w:szCs w:val="8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84"/>
          <w:szCs w:val="84"/>
          <w:lang w:val="en-US" w:eastAsia="zh-CN" w:bidi="ar-SA"/>
        </w:rPr>
        <w:t>岳阳市法律援助中心</w:t>
      </w:r>
    </w:p>
    <w:p w14:paraId="6C8D8B04"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概况</w:t>
      </w:r>
    </w:p>
    <w:p w14:paraId="1C297E07">
      <w:pPr>
        <w:pStyle w:val="7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E5FD0AA"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6ABC283">
      <w:pPr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6EDD2D49">
      <w:pPr>
        <w:pStyle w:val="7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63A7D86F"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66B3C48">
      <w:pPr>
        <w:pStyle w:val="13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 w14:paraId="3A538FC8">
      <w:pPr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宋体" w:hAnsi="宋体" w:eastAsia="宋体" w:cs="Times New Roman"/>
          <w:bCs/>
          <w:kern w:val="0"/>
          <w:sz w:val="32"/>
          <w:szCs w:val="32"/>
        </w:rPr>
        <w:t>岳阳市法律援助中心的主要工作职能：指导、检查法律援助法律法规和政策的执行工作；制定全市法律援助工作规划和年度计划；对县市区法律援助机构的工作进行指导、协调、监督；承办公民申请的和人民法院、检察院、公安机关指定的法律援助案件；负责岳阳市12348法律咨询热线的运行和管理。</w:t>
      </w:r>
    </w:p>
    <w:p w14:paraId="4D2B5EA5">
      <w:pPr>
        <w:widowControl/>
        <w:spacing w:line="60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 w14:paraId="26CC9BEA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（一）内设机构设置。</w:t>
      </w:r>
    </w:p>
    <w:p w14:paraId="4D4635EF">
      <w:pPr>
        <w:widowControl/>
        <w:spacing w:line="600" w:lineRule="exact"/>
        <w:ind w:firstLine="640" w:firstLineChars="200"/>
        <w:rPr>
          <w:rFonts w:ascii="宋体" w:hAnsi="宋体"/>
          <w:bCs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Cs/>
          <w:kern w:val="0"/>
          <w:sz w:val="32"/>
          <w:szCs w:val="32"/>
        </w:rPr>
        <w:t>市法律援助中心内设三个股（室）：业务股、财务股、办公室。我中心共有在职干部</w:t>
      </w:r>
      <w:r>
        <w:rPr>
          <w:rFonts w:hint="default" w:ascii="宋体" w:hAnsi="宋体" w:eastAsia="宋体" w:cs="Times New Roman"/>
          <w:bCs/>
          <w:kern w:val="0"/>
          <w:sz w:val="32"/>
          <w:szCs w:val="32"/>
          <w:lang w:val="en-US"/>
        </w:rPr>
        <w:t>10</w:t>
      </w:r>
      <w:r>
        <w:rPr>
          <w:rFonts w:hint="eastAsia" w:ascii="宋体" w:hAnsi="宋体" w:eastAsia="宋体" w:cs="Times New Roman"/>
          <w:bCs/>
          <w:kern w:val="0"/>
          <w:sz w:val="32"/>
          <w:szCs w:val="32"/>
        </w:rPr>
        <w:t>人，全部为行政编制。</w:t>
      </w:r>
    </w:p>
    <w:p w14:paraId="722CD93C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（二）决算单位构成。</w:t>
      </w:r>
    </w:p>
    <w:p w14:paraId="35EED3AC">
      <w:pPr>
        <w:widowControl/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宋体" w:hAnsi="宋体"/>
          <w:bCs/>
          <w:kern w:val="0"/>
          <w:sz w:val="32"/>
          <w:szCs w:val="32"/>
        </w:rPr>
        <w:t>本单位无独立核算的下属单位，202</w:t>
      </w:r>
      <w:r>
        <w:rPr>
          <w:rFonts w:hint="default" w:ascii="宋体" w:hAnsi="宋体"/>
          <w:bCs/>
          <w:kern w:val="0"/>
          <w:sz w:val="32"/>
          <w:szCs w:val="32"/>
          <w:lang w:val="en-US"/>
        </w:rPr>
        <w:t>5</w:t>
      </w:r>
      <w:r>
        <w:rPr>
          <w:rFonts w:hint="eastAsia" w:ascii="宋体" w:hAnsi="宋体"/>
          <w:bCs/>
          <w:kern w:val="0"/>
          <w:sz w:val="32"/>
          <w:szCs w:val="32"/>
        </w:rPr>
        <w:t>年度部门决算汇总公开单位仅包括岳阳市法律援助中心本级。</w:t>
      </w:r>
    </w:p>
    <w:p w14:paraId="631EFF7B"/>
    <w:p w14:paraId="3519EE5F">
      <w:pPr>
        <w:pStyle w:val="7"/>
      </w:pPr>
    </w:p>
    <w:p w14:paraId="5DACD730">
      <w:pPr>
        <w:pStyle w:val="3"/>
      </w:pPr>
    </w:p>
    <w:p w14:paraId="5765FCEC"/>
    <w:p w14:paraId="754011A1">
      <w:pPr>
        <w:pStyle w:val="7"/>
      </w:pPr>
    </w:p>
    <w:p w14:paraId="548736FA">
      <w:pPr>
        <w:pStyle w:val="3"/>
      </w:pPr>
    </w:p>
    <w:p w14:paraId="3E4DBB08"/>
    <w:p w14:paraId="1CF76715">
      <w:pPr>
        <w:pStyle w:val="7"/>
      </w:pPr>
    </w:p>
    <w:p w14:paraId="3881B992">
      <w:pPr>
        <w:pStyle w:val="3"/>
      </w:pPr>
    </w:p>
    <w:p w14:paraId="38D970F9"/>
    <w:p w14:paraId="308B1AD8">
      <w:pPr>
        <w:pStyle w:val="7"/>
      </w:pPr>
    </w:p>
    <w:p w14:paraId="17E37CCF">
      <w:pPr>
        <w:pStyle w:val="3"/>
      </w:pPr>
    </w:p>
    <w:p w14:paraId="097977E4"/>
    <w:p w14:paraId="1509C997">
      <w:pPr>
        <w:pStyle w:val="7"/>
      </w:pPr>
    </w:p>
    <w:p w14:paraId="7254EE51">
      <w:pPr>
        <w:pStyle w:val="3"/>
      </w:pPr>
    </w:p>
    <w:p w14:paraId="74F080D2"/>
    <w:p w14:paraId="4E6C94B7">
      <w:pPr>
        <w:pStyle w:val="7"/>
      </w:pPr>
    </w:p>
    <w:p w14:paraId="7B7DBCE2">
      <w:pPr>
        <w:pStyle w:val="3"/>
      </w:pPr>
    </w:p>
    <w:p w14:paraId="57B20264"/>
    <w:p w14:paraId="4B82412E">
      <w:pPr>
        <w:pStyle w:val="7"/>
      </w:pPr>
    </w:p>
    <w:p w14:paraId="72F917D2">
      <w:pPr>
        <w:pStyle w:val="3"/>
      </w:pPr>
    </w:p>
    <w:p w14:paraId="3469C87E"/>
    <w:p w14:paraId="63A0EC74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C4C8FFE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FED026C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 w14:paraId="444F0724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540822F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 w14:paraId="0F43EF45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 w14:paraId="53314406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0176B26E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1AD70A7">
      <w:pPr>
        <w:pStyle w:val="12"/>
        <w:jc w:val="both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75E5812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0ED1F86F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144C76CC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453B6876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423A01AE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 w14:paraId="1DA7421F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299BD550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度部门决算情况说明</w:t>
      </w:r>
    </w:p>
    <w:p w14:paraId="4E01B7F9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62C9ED3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376CFB98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3323B94B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4AD06C1C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F2A8DD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1758BD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决算编制时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至“金额单位：元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本套部门决算文字说明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和公开表格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取数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转换为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金额单位：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万元”，可能导致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以下文字说明中的各项数据取数以及公开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中的各项数据取数之间存在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0.01的尾数差异。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2、以下文字说明中，部分科目由于预算数为0，无法计算完成年初预算的百分比，故未描述“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完成年初预算的XX%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715659C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 w14:paraId="08B0B6E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度收、支总计300.11万元。与上年相比，减少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62.95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万元，减少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17.34</w:t>
      </w:r>
      <w:r>
        <w:rPr>
          <w:rFonts w:hint="eastAsia" w:ascii="仿宋_GB2312" w:hAnsi="仿宋_GB2312" w:eastAsia="仿宋_GB2312" w:cs="仿宋_GB2312"/>
          <w:sz w:val="32"/>
          <w:szCs w:val="32"/>
        </w:rPr>
        <w:t>%，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5年严格落实财政预算压减及厉行节约要求，进一步压缩经费支出，优化资金使用结构。受以上因素影响，本年度法律援助财政拨款收支较上年有所减少。</w:t>
      </w:r>
    </w:p>
    <w:p w14:paraId="43808E0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 w14:paraId="3D1E14B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度收入合计299.62万元，其中：财政拨款收入257.63万元，占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85.99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%；其他收入41.99万元，占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14.01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701D833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 w14:paraId="42B94C7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度支出合计276.14万元，其中：基本支出187.46万元，占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67.89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%；项目支出88.68万元，占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32.11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1496E0E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四、财政拨款收入支出决算总体情况说明</w:t>
      </w:r>
    </w:p>
    <w:p w14:paraId="0981B38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2025年度财政拨款收、支总计257.63万元，与上年相比，减少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56.54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万元,减少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5年严格落实财政预算压减及厉行节约要求，进一步压缩经费支出，优化资金使用结构。受以上因素影响，本年度法律援助财政拨款收支较上年有所减少。</w:t>
      </w:r>
    </w:p>
    <w:p w14:paraId="36C6A6D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 w14:paraId="5FF9119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 w14:paraId="2CD0CD1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度财政拨款支出257.63万元，占本年支出合计的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93.3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56.54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%，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5年严格落实财政预算压减及厉行节约要求，进一步压缩经费支出，优化资金使用结构。受以上因素影响，本年度法律援助财政拨款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较上年有所减少。</w:t>
      </w:r>
    </w:p>
    <w:p w14:paraId="44BFFC5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 w14:paraId="645E84BA">
      <w:pPr>
        <w:pStyle w:val="12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度财政拨款支出257.63万元，主要用于以下方面：一般公共服务（类）支出11.55万元，占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4.48</w:t>
      </w:r>
      <w:r>
        <w:rPr>
          <w:rFonts w:hint="eastAsia" w:ascii="仿宋_GB2312" w:hAnsi="仿宋_GB2312" w:eastAsia="仿宋_GB2312" w:cs="仿宋_GB2312"/>
          <w:sz w:val="32"/>
          <w:szCs w:val="32"/>
        </w:rPr>
        <w:t>%；</w:t>
      </w:r>
      <w:r>
        <w:rPr>
          <w:rFonts w:hint="eastAsia" w:ascii="仿宋" w:hAnsi="仿宋" w:eastAsia="仿宋" w:cs="仿宋_GB2312"/>
          <w:sz w:val="32"/>
          <w:szCs w:val="32"/>
        </w:rPr>
        <w:t>公共安全（类）支出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212.33</w:t>
      </w:r>
      <w:r>
        <w:rPr>
          <w:rFonts w:hint="eastAsia" w:ascii="仿宋" w:hAnsi="仿宋" w:eastAsia="仿宋" w:cs="仿宋_GB2312"/>
          <w:sz w:val="32"/>
          <w:szCs w:val="32"/>
        </w:rPr>
        <w:t>万元，占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82.42</w:t>
      </w:r>
      <w:r>
        <w:rPr>
          <w:rFonts w:hint="eastAsia" w:ascii="仿宋" w:hAnsi="仿宋" w:eastAsia="仿宋" w:cs="仿宋_GB2312"/>
          <w:sz w:val="32"/>
          <w:szCs w:val="32"/>
        </w:rPr>
        <w:t>%；社会保障和就业（类）支出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16.63</w:t>
      </w:r>
      <w:r>
        <w:rPr>
          <w:rFonts w:hint="eastAsia" w:ascii="仿宋" w:hAnsi="仿宋" w:eastAsia="仿宋" w:cs="仿宋_GB2312"/>
          <w:sz w:val="32"/>
          <w:szCs w:val="32"/>
        </w:rPr>
        <w:t>万元，占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6.45</w:t>
      </w:r>
      <w:r>
        <w:rPr>
          <w:rFonts w:hint="eastAsia" w:ascii="仿宋" w:hAnsi="仿宋" w:eastAsia="仿宋" w:cs="仿宋_GB2312"/>
          <w:sz w:val="32"/>
          <w:szCs w:val="32"/>
        </w:rPr>
        <w:t>%；卫生健康（类）支出6.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07</w:t>
      </w:r>
      <w:r>
        <w:rPr>
          <w:rFonts w:hint="eastAsia" w:ascii="仿宋" w:hAnsi="仿宋" w:eastAsia="仿宋" w:cs="仿宋_GB2312"/>
          <w:sz w:val="32"/>
          <w:szCs w:val="32"/>
        </w:rPr>
        <w:t>万元，占2.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36</w:t>
      </w:r>
      <w:r>
        <w:rPr>
          <w:rFonts w:hint="eastAsia" w:ascii="仿宋" w:hAnsi="仿宋" w:eastAsia="仿宋" w:cs="仿宋_GB2312"/>
          <w:sz w:val="32"/>
          <w:szCs w:val="32"/>
        </w:rPr>
        <w:t>%；住房保障（类）支出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11.07</w:t>
      </w:r>
      <w:r>
        <w:rPr>
          <w:rFonts w:hint="eastAsia" w:ascii="仿宋" w:hAnsi="仿宋" w:eastAsia="仿宋" w:cs="仿宋_GB2312"/>
          <w:sz w:val="32"/>
          <w:szCs w:val="32"/>
        </w:rPr>
        <w:t>万元，占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4.29</w:t>
      </w:r>
      <w:r>
        <w:rPr>
          <w:rFonts w:hint="eastAsia" w:ascii="仿宋" w:hAnsi="仿宋" w:eastAsia="仿宋" w:cs="仿宋_GB2312"/>
          <w:sz w:val="32"/>
          <w:szCs w:val="32"/>
        </w:rPr>
        <w:t>%。</w:t>
      </w:r>
    </w:p>
    <w:p w14:paraId="6F7971E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（三）一般公共预算财政拨款支出决算具体情况</w:t>
      </w:r>
    </w:p>
    <w:p w14:paraId="7436869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度财政拨款支出年初预算数为177.7万元，支出决算数为257.63万元，完成年初预算的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144.98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</w:t>
      </w:r>
    </w:p>
    <w:p w14:paraId="5B43B6C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1、一般公共服务（类）政府办公厅（室）及相关机构事务（款）行政运行（项）。</w:t>
      </w:r>
    </w:p>
    <w:p w14:paraId="32BFDA6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万元，支出决算为11.55万元，决算数大于年初预算数的主要原因是：年中追加了相关指标。</w:t>
      </w:r>
    </w:p>
    <w:p w14:paraId="498BE5D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公共安全（类）司法（款）行政运行（项）。</w:t>
      </w:r>
    </w:p>
    <w:p w14:paraId="12E1552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112.49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万元，支出决算为126.02万元，完成年初预算的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112.03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%，决算数大于年初预算数的主要原因是：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法</w:t>
      </w:r>
      <w:r>
        <w:rPr>
          <w:rFonts w:hint="eastAsia" w:ascii="Times New Roman" w:hAnsi="Times New Roman" w:eastAsia="仿宋_GB2312"/>
          <w:sz w:val="32"/>
          <w:szCs w:val="32"/>
        </w:rPr>
        <w:t>律援助业务量上升，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中心</w:t>
      </w:r>
      <w:r>
        <w:rPr>
          <w:rFonts w:hint="eastAsia" w:ascii="Times New Roman" w:hAnsi="Times New Roman" w:eastAsia="仿宋_GB2312"/>
          <w:sz w:val="32"/>
          <w:szCs w:val="32"/>
        </w:rPr>
        <w:t>日常运行保障需求增加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7CB9DA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公共安全（类）司法（款）公共法律服务（项）。</w:t>
      </w:r>
    </w:p>
    <w:p w14:paraId="13788C9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8.6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56.24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653.95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于年初预算数的主要原因是：年中追加了相关指标。</w:t>
      </w:r>
    </w:p>
    <w:p w14:paraId="02DFD6F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4、公共安全（类）司法（款）其他司法支出（项）。</w:t>
      </w:r>
    </w:p>
    <w:p w14:paraId="06D4F12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年初预算为0万元，支出决算为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30.07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万元，决算数大于年初预算数的主要原因是：年中追加了相关指标。</w:t>
      </w:r>
    </w:p>
    <w:p w14:paraId="39E018D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5、社会保障和就业支出（类）行政事业单位养老支出（款）机关事业单位基本养老保险缴费支出（项）。</w:t>
      </w:r>
    </w:p>
    <w:p w14:paraId="3FCC2DE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15.26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15.26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%，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于年初预算数的主要原因是：我中心严格执行预算。</w:t>
      </w:r>
    </w:p>
    <w:p w14:paraId="6006867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社会保障和就业支出（类）残疾人事业（款）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其他残疾人事业支出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（项）。</w:t>
      </w:r>
    </w:p>
    <w:p w14:paraId="56A7B8E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1.18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万元，支出决算为1.1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万元，完成年初预算的100%，决算数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于年初预算数的主要原因是：我中心严格执行预算。</w:t>
      </w:r>
    </w:p>
    <w:p w14:paraId="52DAEF5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社会保障和就业支出（类）其他社会保障和就业支出（款）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其他社会保障和就业支出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（项）。</w:t>
      </w:r>
    </w:p>
    <w:p w14:paraId="447779F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年初预算为0万元，支出决算为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0.19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万元，决算数大于年初预算数的主要原因是：年中追加了相关指标。</w:t>
      </w:r>
    </w:p>
    <w:p w14:paraId="1B0F7CD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、卫生健康支出（类）行政事业单位医疗（款）行政单位医疗（项）。</w:t>
      </w:r>
    </w:p>
    <w:p w14:paraId="16AA4D6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6.07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万元，支出决算为6.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万元，完成年初预算的10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于年初预算数的主要原因是：我中心严格执行预算。</w:t>
      </w:r>
    </w:p>
    <w:p w14:paraId="6FCF6A7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、住房保障支出（类）住房改革支出（款）住房公积金（项）。</w:t>
      </w:r>
    </w:p>
    <w:p w14:paraId="7E230B7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11.07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万元，完成年初预算的10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于年初预算数的主要原因是：我中心严格执行预算。</w:t>
      </w:r>
    </w:p>
    <w:p w14:paraId="653C885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 w14:paraId="635085C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186.95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</w:p>
    <w:p w14:paraId="735F68B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171.06万元，占基本支出的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91.5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%,主要包括基本工资、津贴补贴、奖金、伙食补助费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、机关事业单位基本养老保险缴费、其他社会保障缴费、住房公积金、医疗费等。</w:t>
      </w:r>
    </w:p>
    <w:p w14:paraId="48A9D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15.89万元，占基本支出的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8.5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%，主要包括办公费、印刷费、劳务费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其他交通费用等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21682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七、政府性基金预算收入支出决算情况</w:t>
      </w:r>
    </w:p>
    <w:p w14:paraId="26E00B1B">
      <w:pPr>
        <w:autoSpaceDE w:val="0"/>
        <w:autoSpaceDN w:val="0"/>
        <w:adjustRightInd w:val="0"/>
        <w:ind w:firstLine="640" w:firstLineChars="200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2025年度政府性基金预算财政拨款收入0万元；年初结转和结余0万元；支出0万元，其中基本支出0万元，项目支出0万元；年末结转和结余0万元。</w:t>
      </w:r>
    </w:p>
    <w:p w14:paraId="53C81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八、国有资本经营预算财政拨款支出决算情况</w:t>
      </w:r>
    </w:p>
    <w:p w14:paraId="64D19482">
      <w:pPr>
        <w:autoSpaceDE w:val="0"/>
        <w:autoSpaceDN w:val="0"/>
        <w:adjustRightInd w:val="0"/>
        <w:ind w:firstLine="640" w:firstLineChars="200"/>
        <w:rPr>
          <w:rFonts w:hint="eastAsia" w:ascii="仿宋" w:hAnsi="仿宋" w:eastAsia="仿宋" w:cs="仿宋_GB2312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lang w:val="en-US" w:eastAsia="zh-CN"/>
        </w:rPr>
        <w:t>2025年度国有资本经营预算财政拨款收入0万元；年初结转和结余0万；支出0万元，其中：基本支出0万元，项目支出0万元；年末结转和结余0万元。</w:t>
      </w:r>
    </w:p>
    <w:p w14:paraId="2C08BFE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 w14:paraId="3941056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 w14:paraId="0DE2DDC7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0.60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0.13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按有关政策厉行节约，严控“三公经费”支出。</w:t>
      </w:r>
      <w:r>
        <w:rPr>
          <w:rFonts w:ascii="Times New Roman" w:hAnsi="Times New Roman" w:eastAsia="仿宋_GB2312" w:cs="Times New Roman"/>
          <w:sz w:val="32"/>
          <w:szCs w:val="32"/>
        </w:rPr>
        <w:t>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按有关政策厉行节约，严控“三公经费”支出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77208216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 w14:paraId="54B439F8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决算数等于预算数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，主要原因是我单位严格按预算执行决算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与上年一致，无增减变动，主要原因是未安排因公出国（境）活动。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年度安排因公出国（境）团组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58007BD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公务用车购置费及运行维护费支出预算为0万元，支出决算为0万元，决算数等于预算数；与上年一致，无增减变动。其中：</w:t>
      </w:r>
    </w:p>
    <w:p w14:paraId="36C208DF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公务用车购置费支出预算为0万元，支出决算为0万元，决算数等于预算数，主要原因是我单位严格按预算执行决算；与上年一致，无增减变动，主要原因是两年均未购置公务用车。本单位更新公务用车0辆。</w:t>
      </w:r>
    </w:p>
    <w:p w14:paraId="58312B8D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务用车运行维护费支出预算为0万元，支出决算为0万元，决算数等于预算数，主要原因是我单位严格按预算执行决算；与上年一致，无增减变动，主要原因是两年均无公务用车需要运行维护。截止到2025年12月31日，我单位开支财政拨款的公务用车保有量为0辆。</w:t>
      </w:r>
    </w:p>
    <w:p w14:paraId="6A233A1D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公务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0.6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%；与上年相</w:t>
      </w:r>
      <w:r>
        <w:rPr>
          <w:rFonts w:ascii="Times New Roman" w:hAnsi="Times New Roman" w:eastAsia="仿宋_GB2312" w:cs="Times New Roman"/>
          <w:sz w:val="32"/>
          <w:szCs w:val="32"/>
        </w:rPr>
        <w:t>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0.13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严格执行中央八项规定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严格执行中央八项规定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人次。</w:t>
      </w:r>
    </w:p>
    <w:p w14:paraId="04D8B94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、关于机关运行经费支出说明</w:t>
      </w:r>
    </w:p>
    <w:p w14:paraId="7B9BE310">
      <w:pPr>
        <w:pStyle w:val="12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度机关运行经费支出15.89万元，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比年初预算数减少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1.73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万元，降低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9.82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%。主要原因是：</w:t>
      </w:r>
      <w:r>
        <w:rPr>
          <w:rFonts w:hint="eastAsia" w:ascii="仿宋" w:hAnsi="仿宋" w:eastAsia="仿宋" w:cs="仿宋_GB2312"/>
          <w:sz w:val="32"/>
          <w:szCs w:val="32"/>
        </w:rPr>
        <w:t>厉行节约，减少开支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。</w:t>
      </w:r>
    </w:p>
    <w:p w14:paraId="1E2BFAB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 w14:paraId="5E588319">
      <w:pPr>
        <w:pStyle w:val="1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年度，会议费年初预算0万元，支出决算为0万元。本单位无会议费的预算和支出决算数</w:t>
      </w:r>
    </w:p>
    <w:p w14:paraId="256E2E71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培训费年初预算0万元，支出决算为0万元。本单位无培训费的预算和支出决算数；</w:t>
      </w:r>
    </w:p>
    <w:p w14:paraId="39C2EAB5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举办节庆、晚会、论坛、赛事活动年初预算0万元，支出决算为0万元。本单位无举办节庆、晚会、论坛、赛事等活动的预算和支出决算数。</w:t>
      </w:r>
    </w:p>
    <w:p w14:paraId="3080209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 w14:paraId="7D63E9C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本部门2025年度政府采购支出总额0万元，其中：政府采购货物支出0万元、政府采购工程支出0万元、政府采购服务支出0万元。授予中小企业合同金额0万元（由于政府采购支出总额为0，故无法计算占政府采购支出总额的比重），其中：授予小微企业合同金额0万元（由于授予中小企业合同金额为0，故无法计算占授予中小企业合同金额的比重）。货物采购授予中小企业合同金额占货物支出金额的比重，工程采购授予中小企业合同金额占工程支出金额的比重，服务采购授予中小企业合同金额占服务支出金额的比重，由于以上各项合同金额为0，故无法计算各项占比。</w:t>
      </w:r>
    </w:p>
    <w:p w14:paraId="3BB946B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 w14:paraId="01AE652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12月31日，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本单位共有车辆0辆，其中，副部（省）级及以上领导用车0辆、主要负责人用车0辆、机要通信用车0辆、应急保障用车0辆、执法执勤用车0辆、特种专业技术用车0辆、离退休干部服务用车0辆、其他用车0辆；单位价值100万元以上设备（不含车辆）0台（套）。</w:t>
      </w:r>
    </w:p>
    <w:p w14:paraId="07D3BC4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 w14:paraId="71E956A1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 w14:paraId="2559DDC6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8.33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8.33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 w14:paraId="7566DEE6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本单位为二级预算单位，部门评价开展情况可详见上级部门决算公开说明。</w:t>
      </w:r>
    </w:p>
    <w:p w14:paraId="733F95C1">
      <w:pPr>
        <w:overflowPunct w:val="0"/>
        <w:spacing w:line="600" w:lineRule="exact"/>
        <w:ind w:firstLine="640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事前绩效评估开展情况。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本单位为二级预算单位，事前绩效评估开展情况可详见上级部门决算公开说明。</w:t>
      </w:r>
    </w:p>
    <w:p w14:paraId="67FB81A1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 w14:paraId="389FC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329.78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276.13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83.73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92.81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优秀</w:t>
      </w:r>
      <w:r>
        <w:rPr>
          <w:rFonts w:ascii="Times New Roman" w:hAnsi="Times New Roman" w:eastAsia="仿宋_GB2312" w:cs="Times New Roman"/>
          <w:sz w:val="32"/>
          <w:szCs w:val="32"/>
        </w:rPr>
        <w:t>”。</w:t>
      </w:r>
    </w:p>
    <w:p w14:paraId="48B20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绩效目标完成情况：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一是全年共受理法律援助案件306件；接待各类咨询12686人次，其中现场咨询2791人次，来电咨询9871人次（其中12348热线8117人次），网络咨询19人次；二是为受援人挽回经济损失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00余万元，收到受援人赠送锦旗17面。三是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组织中心同志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和法援律师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赴岳阳市图书馆、南湖广场、湖南理工大学开展普法宣传3次。依托市中心城区4条公交线路车身、1000台电梯云屏，投放法援宣传标语及视频。在湖南日报、智慧岳阳、市局官网等平台推送稿件100余篇，向省厅报送典型案例12个，其中2个案例被《湖南法援故事》栏目采用。</w:t>
      </w:r>
    </w:p>
    <w:p w14:paraId="4C5BE41E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本单位为二级预算单位，部门评价结果可详见上级部门决算公开说明。</w:t>
      </w:r>
    </w:p>
    <w:p w14:paraId="341FA967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本单位为二级预算单位，事前绩效评估结果可详见上级部门决算公开说明。</w:t>
      </w:r>
    </w:p>
    <w:p w14:paraId="7A885877">
      <w:pPr>
        <w:numPr>
          <w:ilvl w:val="0"/>
          <w:numId w:val="2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 w14:paraId="7C61C31B">
      <w:pPr>
        <w:widowControl/>
        <w:spacing w:line="64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eastAsia="仿宋" w:cs="仿宋"/>
          <w:bCs/>
          <w:sz w:val="32"/>
          <w:szCs w:val="32"/>
          <w:lang w:val="en-US" w:eastAsia="zh-CN"/>
        </w:rPr>
        <w:t>2026年度要</w:t>
      </w:r>
      <w:r>
        <w:rPr>
          <w:rFonts w:hint="eastAsia" w:eastAsia="仿宋" w:cs="仿宋"/>
          <w:bCs/>
          <w:sz w:val="32"/>
          <w:szCs w:val="32"/>
        </w:rPr>
        <w:t>严格落实“先有预算后有支出”，实时监控各项经费使用情况。贯彻落实党中央、国务院关于过“紧日子”和坚持厉行节约反对浪费有关要求，继续压缩一般性支出，保障重点项目开支。</w:t>
      </w:r>
      <w:r>
        <w:rPr>
          <w:rFonts w:hint="eastAsia" w:eastAsia="仿宋" w:cs="仿宋"/>
          <w:bCs/>
          <w:sz w:val="32"/>
          <w:szCs w:val="32"/>
          <w:lang w:eastAsia="zh-CN"/>
        </w:rPr>
        <w:t>建</w:t>
      </w:r>
      <w:r>
        <w:rPr>
          <w:rFonts w:hint="eastAsia" w:eastAsia="仿宋" w:cs="仿宋"/>
          <w:bCs/>
          <w:sz w:val="32"/>
          <w:szCs w:val="32"/>
        </w:rPr>
        <w:t>立绩效监控结果的反馈与整改、激励与问责制度，将监控结果作为预算调整的重要依据。发现预算支出绩效运行与年初计划发生偏离时，及时采取措施予以纠正</w:t>
      </w:r>
      <w:r>
        <w:rPr>
          <w:rFonts w:hint="eastAsia" w:eastAsia="仿宋" w:cs="仿宋"/>
          <w:bCs/>
          <w:sz w:val="32"/>
          <w:szCs w:val="32"/>
          <w:lang w:eastAsia="zh-CN"/>
        </w:rPr>
        <w:t>。同时要</w:t>
      </w:r>
      <w:r>
        <w:rPr>
          <w:rFonts w:hint="eastAsia" w:eastAsia="仿宋" w:cs="仿宋"/>
          <w:bCs/>
          <w:sz w:val="32"/>
          <w:szCs w:val="32"/>
        </w:rPr>
        <w:t>广泛参加各类业务知识培训</w:t>
      </w:r>
      <w:r>
        <w:rPr>
          <w:rFonts w:hint="eastAsia" w:eastAsia="仿宋" w:cs="仿宋"/>
          <w:bCs/>
          <w:sz w:val="32"/>
          <w:szCs w:val="32"/>
          <w:lang w:eastAsia="zh-CN"/>
        </w:rPr>
        <w:t>，</w:t>
      </w:r>
      <w:r>
        <w:rPr>
          <w:rFonts w:hint="eastAsia" w:eastAsia="仿宋" w:cs="仿宋"/>
          <w:bCs/>
          <w:sz w:val="32"/>
          <w:szCs w:val="32"/>
        </w:rPr>
        <w:t>不断提高业务能力、知识水平及综合协调能力</w:t>
      </w:r>
      <w:r>
        <w:rPr>
          <w:rFonts w:hint="eastAsia" w:eastAsia="仿宋" w:cs="仿宋"/>
          <w:bCs/>
          <w:sz w:val="32"/>
          <w:szCs w:val="32"/>
          <w:lang w:eastAsia="zh-CN"/>
        </w:rPr>
        <w:t>，</w:t>
      </w:r>
      <w:r>
        <w:rPr>
          <w:rFonts w:hint="eastAsia" w:eastAsia="仿宋" w:cs="仿宋"/>
          <w:bCs/>
          <w:sz w:val="32"/>
          <w:szCs w:val="32"/>
        </w:rPr>
        <w:t>贯彻落实全面实施预算绩效管理和新会计制度改革的新要求，进一步提升绩效管理人员的业务素质。</w:t>
      </w:r>
    </w:p>
    <w:p w14:paraId="23222EB9"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 w14:paraId="50ECA9DB">
      <w:pPr>
        <w:pStyle w:val="7"/>
        <w:rPr>
          <w:rFonts w:hint="eastAsia"/>
          <w:lang w:val="en-US" w:eastAsia="zh-CN"/>
        </w:rPr>
      </w:pPr>
    </w:p>
    <w:p w14:paraId="6ED470E5"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楷体" w:hAnsi="楷体" w:eastAsia="楷体" w:cs="楷体"/>
          <w:b/>
          <w:bCs/>
          <w:i w:val="0"/>
          <w:iCs w:val="0"/>
          <w:color w:val="FF0000"/>
          <w:kern w:val="0"/>
          <w:sz w:val="36"/>
          <w:szCs w:val="36"/>
          <w:lang w:val="en-US" w:eastAsia="zh-CN"/>
        </w:rPr>
      </w:pPr>
    </w:p>
    <w:p w14:paraId="52E416CA">
      <w:pPr>
        <w:pStyle w:val="12"/>
        <w:jc w:val="both"/>
        <w:rPr>
          <w:rFonts w:hint="eastAsia" w:ascii="方正小标宋_GBK" w:hAnsi="方正小标宋_GBK" w:eastAsia="方正小标宋_GBK" w:cs="方正小标宋_GBK"/>
          <w:sz w:val="24"/>
          <w:szCs w:val="24"/>
        </w:rPr>
      </w:pPr>
    </w:p>
    <w:p w14:paraId="18780B0D">
      <w:pPr>
        <w:pStyle w:val="12"/>
        <w:jc w:val="both"/>
        <w:rPr>
          <w:rFonts w:hint="eastAsia" w:ascii="方正小标宋_GBK" w:hAnsi="方正小标宋_GBK" w:eastAsia="方正小标宋_GBK" w:cs="方正小标宋_GBK"/>
          <w:sz w:val="24"/>
          <w:szCs w:val="24"/>
        </w:rPr>
      </w:pPr>
    </w:p>
    <w:p w14:paraId="1C1CA37B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182658B7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DA93826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52316ADD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 w14:paraId="53D9DEC4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 w14:paraId="226E84E4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 w14:paraId="455A33EA">
      <w:pPr>
        <w:pStyle w:val="7"/>
      </w:pPr>
    </w:p>
    <w:p w14:paraId="0166F73A">
      <w:pPr>
        <w:pStyle w:val="3"/>
      </w:pPr>
    </w:p>
    <w:p w14:paraId="52D09E83"/>
    <w:p w14:paraId="6810F94E">
      <w:pPr>
        <w:pStyle w:val="7"/>
      </w:pPr>
    </w:p>
    <w:p w14:paraId="2F7920DE">
      <w:pPr>
        <w:pStyle w:val="3"/>
      </w:pPr>
    </w:p>
    <w:p w14:paraId="6FCF9938"/>
    <w:p w14:paraId="59093323">
      <w:pPr>
        <w:pStyle w:val="7"/>
      </w:pPr>
    </w:p>
    <w:p w14:paraId="318679A6">
      <w:pPr>
        <w:pStyle w:val="3"/>
      </w:pPr>
    </w:p>
    <w:p w14:paraId="7D87C1D2"/>
    <w:p w14:paraId="56357114">
      <w:pPr>
        <w:pStyle w:val="7"/>
      </w:pPr>
    </w:p>
    <w:p w14:paraId="6074E2A8">
      <w:pPr>
        <w:pStyle w:val="3"/>
      </w:pPr>
    </w:p>
    <w:p w14:paraId="0FCA4887"/>
    <w:p w14:paraId="4CB1A3C6">
      <w:pPr>
        <w:pStyle w:val="7"/>
      </w:pPr>
    </w:p>
    <w:p w14:paraId="7337F708">
      <w:pPr>
        <w:pStyle w:val="3"/>
      </w:pPr>
    </w:p>
    <w:p w14:paraId="527005FF"/>
    <w:p w14:paraId="562C3A00">
      <w:pPr>
        <w:pStyle w:val="7"/>
      </w:pPr>
    </w:p>
    <w:p w14:paraId="1EC77793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80C51BC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2D52CAE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60902C3">
      <w:pPr>
        <w:pStyle w:val="7"/>
        <w:rPr>
          <w:rFonts w:hint="eastAsia"/>
        </w:rPr>
      </w:pPr>
    </w:p>
    <w:p w14:paraId="4D09BFC4">
      <w:pPr>
        <w:pStyle w:val="3"/>
        <w:ind w:left="0" w:leftChars="0" w:firstLine="0" w:firstLineChars="0"/>
        <w:rPr>
          <w:rFonts w:hint="eastAsia"/>
        </w:rPr>
      </w:pPr>
    </w:p>
    <w:p w14:paraId="472EE0DE">
      <w:pPr>
        <w:rPr>
          <w:rFonts w:hint="eastAsia"/>
        </w:rPr>
      </w:pPr>
    </w:p>
    <w:p w14:paraId="7BD77F31">
      <w:pPr>
        <w:rPr>
          <w:rFonts w:hint="eastAsia"/>
        </w:rPr>
      </w:pPr>
    </w:p>
    <w:p w14:paraId="4E02CDEC">
      <w:pPr>
        <w:rPr>
          <w:rFonts w:hint="eastAsia"/>
        </w:rPr>
      </w:pPr>
    </w:p>
    <w:p w14:paraId="5B6F28F1">
      <w:pPr>
        <w:rPr>
          <w:rFonts w:hint="eastAsia"/>
        </w:rPr>
      </w:pPr>
    </w:p>
    <w:p w14:paraId="5F438961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2A6CE94C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 w14:paraId="43554759">
      <w:pPr>
        <w:pStyle w:val="12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5FF330">
      <w:pPr>
        <w:pStyle w:val="3"/>
      </w:pPr>
    </w:p>
    <w:p w14:paraId="5168AB84"/>
    <w:p w14:paraId="0BAB3A1A">
      <w:pPr>
        <w:pStyle w:val="7"/>
      </w:pPr>
    </w:p>
    <w:p w14:paraId="210BA140">
      <w:pPr>
        <w:pStyle w:val="3"/>
      </w:pPr>
    </w:p>
    <w:p w14:paraId="23DB55D4"/>
    <w:p w14:paraId="774AC9D7">
      <w:pPr>
        <w:pStyle w:val="7"/>
      </w:pPr>
    </w:p>
    <w:p w14:paraId="4C9E4F63">
      <w:pPr>
        <w:pStyle w:val="3"/>
      </w:pPr>
    </w:p>
    <w:p w14:paraId="3E28125D"/>
    <w:p w14:paraId="10E7FB2C">
      <w:pPr>
        <w:pStyle w:val="7"/>
      </w:pPr>
    </w:p>
    <w:p w14:paraId="007C7C4C">
      <w:pPr>
        <w:pStyle w:val="3"/>
      </w:pPr>
    </w:p>
    <w:p w14:paraId="020BBB3E"/>
    <w:p w14:paraId="5E59B02D">
      <w:pPr>
        <w:pStyle w:val="7"/>
      </w:pPr>
    </w:p>
    <w:p w14:paraId="5648F65E">
      <w:pPr>
        <w:pStyle w:val="3"/>
      </w:pPr>
    </w:p>
    <w:p w14:paraId="532B5E4F"/>
    <w:p w14:paraId="415494EA">
      <w:pPr>
        <w:pStyle w:val="7"/>
      </w:pPr>
    </w:p>
    <w:p w14:paraId="34EA939F">
      <w:pPr>
        <w:pStyle w:val="3"/>
      </w:pPr>
    </w:p>
    <w:p w14:paraId="6BB108F7"/>
    <w:p w14:paraId="162C6469">
      <w:pPr>
        <w:pStyle w:val="7"/>
      </w:pPr>
    </w:p>
    <w:p w14:paraId="36DC5ABE">
      <w:pPr>
        <w:pStyle w:val="3"/>
      </w:pPr>
    </w:p>
    <w:p w14:paraId="35CF3861"/>
    <w:p w14:paraId="451F5CA3"/>
    <w:p w14:paraId="06B02BAA">
      <w:pPr>
        <w:pStyle w:val="7"/>
      </w:pPr>
    </w:p>
    <w:p w14:paraId="310CB332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4DE20369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 w14:paraId="62D95D5C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 w14:paraId="7A5E4ACD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 w14:paraId="3E2A7AB4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 w14:paraId="7A074AFA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部门决算公开表格</w:t>
      </w:r>
    </w:p>
    <w:p w14:paraId="0456045C"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度部门整体支出绩效评价报告</w:t>
      </w:r>
    </w:p>
    <w:p w14:paraId="5CBEF111"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9958AD"/>
    <w:rsid w:val="06C857E7"/>
    <w:rsid w:val="08C24A73"/>
    <w:rsid w:val="11944E2C"/>
    <w:rsid w:val="12583BA5"/>
    <w:rsid w:val="13BA5B9C"/>
    <w:rsid w:val="1D97DEFF"/>
    <w:rsid w:val="1DFF72E5"/>
    <w:rsid w:val="1EFC6F07"/>
    <w:rsid w:val="1F0527A6"/>
    <w:rsid w:val="22AC03C2"/>
    <w:rsid w:val="283B15FE"/>
    <w:rsid w:val="2FDF85B8"/>
    <w:rsid w:val="2FFFEE04"/>
    <w:rsid w:val="31C95635"/>
    <w:rsid w:val="34DF85B0"/>
    <w:rsid w:val="3B8F36BC"/>
    <w:rsid w:val="3EF691D9"/>
    <w:rsid w:val="43EB5BA5"/>
    <w:rsid w:val="491FF225"/>
    <w:rsid w:val="4EC310A1"/>
    <w:rsid w:val="4EFFF273"/>
    <w:rsid w:val="4FA781FA"/>
    <w:rsid w:val="4FFD214C"/>
    <w:rsid w:val="5352765A"/>
    <w:rsid w:val="558945DB"/>
    <w:rsid w:val="5777D4F5"/>
    <w:rsid w:val="57EBA9D6"/>
    <w:rsid w:val="57F22B6F"/>
    <w:rsid w:val="57FF2366"/>
    <w:rsid w:val="59DD8326"/>
    <w:rsid w:val="5DEF592A"/>
    <w:rsid w:val="5FC6BB1E"/>
    <w:rsid w:val="5FF720F1"/>
    <w:rsid w:val="622964C1"/>
    <w:rsid w:val="67FF5C0B"/>
    <w:rsid w:val="6BAA4A2F"/>
    <w:rsid w:val="6BAFB494"/>
    <w:rsid w:val="6DDEC5C0"/>
    <w:rsid w:val="6DFB1145"/>
    <w:rsid w:val="6EF756F9"/>
    <w:rsid w:val="6EFC0924"/>
    <w:rsid w:val="6EFEC7D9"/>
    <w:rsid w:val="6F9E8580"/>
    <w:rsid w:val="6FB74722"/>
    <w:rsid w:val="6FEF8B7E"/>
    <w:rsid w:val="6FF83788"/>
    <w:rsid w:val="717FE77F"/>
    <w:rsid w:val="71A6591B"/>
    <w:rsid w:val="737D59BA"/>
    <w:rsid w:val="737F32B1"/>
    <w:rsid w:val="73BD3FCA"/>
    <w:rsid w:val="75DE4F66"/>
    <w:rsid w:val="776BDA01"/>
    <w:rsid w:val="77C37683"/>
    <w:rsid w:val="794310E0"/>
    <w:rsid w:val="79FF515B"/>
    <w:rsid w:val="7CFF788C"/>
    <w:rsid w:val="7D5B19E1"/>
    <w:rsid w:val="7DFBFF20"/>
    <w:rsid w:val="7E9E1962"/>
    <w:rsid w:val="7E9F11B4"/>
    <w:rsid w:val="7EFE5828"/>
    <w:rsid w:val="7F37EC1E"/>
    <w:rsid w:val="7F7C0DDA"/>
    <w:rsid w:val="7F7DCD9D"/>
    <w:rsid w:val="7F970A6F"/>
    <w:rsid w:val="7FC1FFF3"/>
    <w:rsid w:val="7FC69637"/>
    <w:rsid w:val="7FDF8620"/>
    <w:rsid w:val="7FFB242F"/>
    <w:rsid w:val="7FFDB408"/>
    <w:rsid w:val="7FFE4EEB"/>
    <w:rsid w:val="95FB2B98"/>
    <w:rsid w:val="9A639BC2"/>
    <w:rsid w:val="9FF7D786"/>
    <w:rsid w:val="ABBFB23D"/>
    <w:rsid w:val="B6BE5A03"/>
    <w:rsid w:val="B8C93228"/>
    <w:rsid w:val="BFD4EF0C"/>
    <w:rsid w:val="C3B4DA5A"/>
    <w:rsid w:val="C4FF458C"/>
    <w:rsid w:val="C7BBD038"/>
    <w:rsid w:val="CBFF70E0"/>
    <w:rsid w:val="CFF50B82"/>
    <w:rsid w:val="CFFFAD89"/>
    <w:rsid w:val="DFFE359E"/>
    <w:rsid w:val="DFFE4FFD"/>
    <w:rsid w:val="DFFF5403"/>
    <w:rsid w:val="EBC3E00A"/>
    <w:rsid w:val="EDFBE100"/>
    <w:rsid w:val="EEABED75"/>
    <w:rsid w:val="EF7E8003"/>
    <w:rsid w:val="F56FDF51"/>
    <w:rsid w:val="F5DD7680"/>
    <w:rsid w:val="F5F3EE78"/>
    <w:rsid w:val="F6B69F17"/>
    <w:rsid w:val="F6E5BB3A"/>
    <w:rsid w:val="F77F1D61"/>
    <w:rsid w:val="F7B8B5A9"/>
    <w:rsid w:val="F7C36722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94102"/>
    <w:rsid w:val="FFFF1C8B"/>
    <w:rsid w:val="FF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3">
    <w:name w:val="Body Text First Indent 2"/>
    <w:basedOn w:val="2"/>
    <w:next w:val="1"/>
    <w:unhideWhenUsed/>
    <w:qFormat/>
    <w:uiPriority w:val="99"/>
    <w:pPr>
      <w:ind w:firstLine="420" w:firstLineChars="2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16</Pages>
  <Words>1347</Words>
  <Characters>7679</Characters>
  <Lines>63</Lines>
  <Paragraphs>18</Paragraphs>
  <TotalTime>2</TotalTime>
  <ScaleCrop>false</ScaleCrop>
  <LinksUpToDate>false</LinksUpToDate>
  <CharactersWithSpaces>9008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2020-07-13T02:32:00Z</dcterms:created>
  <dc:creator>李航 null</dc:creator>
  <cp:lastModifiedBy>kylin</cp:lastModifiedBy>
  <cp:lastPrinted>2026-09-23T02:17:00Z</cp:lastPrinted>
  <dcterms:modified xsi:type="dcterms:W3CDTF">2026-09-23T09:05:18Z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75E6F8D2ACC5D3060804AA6A7A303EE8_43</vt:lpwstr>
  </property>
</Properties>
</file>