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FA34D8">
      <w:pPr>
        <w:pStyle w:val="12"/>
        <w:jc w:val="center"/>
        <w:rPr>
          <w:sz w:val="56"/>
          <w:szCs w:val="56"/>
        </w:rPr>
      </w:pPr>
    </w:p>
    <w:p w14:paraId="75605A67">
      <w:pPr>
        <w:pStyle w:val="12"/>
        <w:jc w:val="center"/>
        <w:rPr>
          <w:sz w:val="56"/>
          <w:szCs w:val="56"/>
        </w:rPr>
      </w:pPr>
    </w:p>
    <w:p w14:paraId="2A306716">
      <w:pPr>
        <w:pStyle w:val="12"/>
        <w:jc w:val="center"/>
        <w:rPr>
          <w:sz w:val="84"/>
          <w:szCs w:val="84"/>
        </w:rPr>
      </w:pPr>
    </w:p>
    <w:p w14:paraId="2821D1E3">
      <w:pPr>
        <w:pStyle w:val="12"/>
        <w:jc w:val="center"/>
        <w:rPr>
          <w:sz w:val="84"/>
          <w:szCs w:val="84"/>
        </w:rPr>
      </w:pPr>
    </w:p>
    <w:p w14:paraId="416DABB4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  <w:lang w:eastAsia="zh-CN"/>
        </w:rPr>
        <w:t>2025年</w:t>
      </w: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度</w:t>
      </w:r>
    </w:p>
    <w:p w14:paraId="6BFAF870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  <w:lang w:val="en-US" w:eastAsia="zh-CN"/>
        </w:rPr>
        <w:t>岳阳市强制隔离戒毒所</w:t>
      </w: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单位决算</w:t>
      </w:r>
    </w:p>
    <w:p w14:paraId="5E055A1B">
      <w:pPr>
        <w:pStyle w:val="12"/>
        <w:jc w:val="center"/>
        <w:rPr>
          <w:rFonts w:hint="eastAsia" w:ascii="方正小标宋_GBK" w:hAnsi="方正小标宋_GBK" w:eastAsia="方正小标宋_GBK" w:cs="方正小标宋_GBK"/>
          <w:sz w:val="56"/>
          <w:szCs w:val="56"/>
        </w:rPr>
      </w:pPr>
    </w:p>
    <w:p w14:paraId="067BB892">
      <w:pPr>
        <w:pStyle w:val="12"/>
        <w:jc w:val="center"/>
        <w:rPr>
          <w:sz w:val="56"/>
          <w:szCs w:val="56"/>
        </w:rPr>
      </w:pPr>
    </w:p>
    <w:p w14:paraId="0EC70284">
      <w:pPr>
        <w:pStyle w:val="12"/>
        <w:jc w:val="center"/>
        <w:rPr>
          <w:sz w:val="56"/>
          <w:szCs w:val="56"/>
        </w:rPr>
      </w:pPr>
    </w:p>
    <w:p w14:paraId="2EBF5AF8">
      <w:pPr>
        <w:pStyle w:val="12"/>
        <w:jc w:val="center"/>
        <w:rPr>
          <w:sz w:val="56"/>
          <w:szCs w:val="56"/>
        </w:rPr>
      </w:pPr>
    </w:p>
    <w:p w14:paraId="6B647DA4">
      <w:pPr>
        <w:pStyle w:val="12"/>
        <w:jc w:val="center"/>
        <w:rPr>
          <w:sz w:val="32"/>
          <w:szCs w:val="32"/>
        </w:rPr>
      </w:pPr>
    </w:p>
    <w:p w14:paraId="2C62B3C7">
      <w:pPr>
        <w:pStyle w:val="12"/>
        <w:jc w:val="center"/>
        <w:rPr>
          <w:sz w:val="32"/>
          <w:szCs w:val="32"/>
        </w:rPr>
      </w:pPr>
    </w:p>
    <w:p w14:paraId="000D9E02">
      <w:pPr>
        <w:pStyle w:val="12"/>
        <w:jc w:val="center"/>
        <w:rPr>
          <w:sz w:val="32"/>
          <w:szCs w:val="32"/>
        </w:rPr>
      </w:pPr>
    </w:p>
    <w:p w14:paraId="002D8099">
      <w:pPr>
        <w:pStyle w:val="12"/>
        <w:spacing w:line="500" w:lineRule="exact"/>
        <w:jc w:val="both"/>
        <w:rPr>
          <w:b/>
          <w:sz w:val="36"/>
          <w:szCs w:val="28"/>
        </w:rPr>
      </w:pPr>
    </w:p>
    <w:p w14:paraId="7E5BCE67">
      <w:pPr>
        <w:pStyle w:val="12"/>
        <w:spacing w:line="500" w:lineRule="exact"/>
        <w:jc w:val="center"/>
        <w:rPr>
          <w:b/>
          <w:sz w:val="36"/>
          <w:szCs w:val="28"/>
        </w:rPr>
      </w:pPr>
      <w:r>
        <w:rPr>
          <w:rFonts w:hint="eastAsia"/>
          <w:b/>
          <w:sz w:val="36"/>
          <w:szCs w:val="28"/>
        </w:rPr>
        <w:t>目录</w:t>
      </w:r>
    </w:p>
    <w:p w14:paraId="52421C09">
      <w:pPr>
        <w:pStyle w:val="12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第一部分</w:t>
      </w:r>
      <w:r>
        <w:rPr>
          <w:rFonts w:hint="eastAsia" w:hAnsi="黑体" w:cs="黑体"/>
          <w:b w:val="0"/>
          <w:bCs/>
          <w:sz w:val="28"/>
          <w:szCs w:val="28"/>
          <w:lang w:val="en-US" w:eastAsia="zh-CN"/>
        </w:rPr>
        <w:t>岳阳市强制隔离戒毒所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单位概况</w:t>
      </w:r>
    </w:p>
    <w:p w14:paraId="38387840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一、部门职责</w:t>
      </w:r>
    </w:p>
    <w:p w14:paraId="18B05263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二、机构设置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及决算单位构成</w:t>
      </w:r>
    </w:p>
    <w:p w14:paraId="0866AF8A">
      <w:pPr>
        <w:pStyle w:val="12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第二部分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部门决算表</w:t>
      </w:r>
    </w:p>
    <w:p w14:paraId="524BA240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一、收入支出决算总表</w:t>
      </w:r>
    </w:p>
    <w:p w14:paraId="08E1DEBC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二、收入决算表</w:t>
      </w:r>
    </w:p>
    <w:p w14:paraId="007DF0F2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三、支出决算表</w:t>
      </w:r>
    </w:p>
    <w:p w14:paraId="1507C49E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四、财政拨款收入支出决算总表</w:t>
      </w:r>
    </w:p>
    <w:p w14:paraId="746B9179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五、一般公共预算财政拨款支出决算表</w:t>
      </w:r>
    </w:p>
    <w:p w14:paraId="7B8D1CDB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六、一般公共预算财政拨款基本支出决算明细表</w:t>
      </w:r>
    </w:p>
    <w:p w14:paraId="02CD2359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七、政府性基金预算财政拨款收入支出决算表</w:t>
      </w:r>
    </w:p>
    <w:p w14:paraId="56776DE4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八、国有资本经营预算财政拨款支出决算表</w:t>
      </w:r>
    </w:p>
    <w:p w14:paraId="561425E3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九、财政拨款“三公”经费支出决算表</w:t>
      </w:r>
    </w:p>
    <w:p w14:paraId="2DD8E8B8">
      <w:pPr>
        <w:pStyle w:val="12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第三部分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部门决算情况说明</w:t>
      </w:r>
    </w:p>
    <w:p w14:paraId="6F1ADB03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一、收入支出决算总体情况说明</w:t>
      </w:r>
    </w:p>
    <w:p w14:paraId="7E8DA573">
      <w:pPr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二、收入决算情况说明</w:t>
      </w:r>
    </w:p>
    <w:p w14:paraId="4170D117"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三、支出决算情况说明</w:t>
      </w:r>
    </w:p>
    <w:p w14:paraId="774F0E31"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四、财政拨款收入支出决算总体情况说明</w:t>
      </w:r>
    </w:p>
    <w:p w14:paraId="3B96B5AA"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五、一般公共预算财政拨款支出决算情况说明</w:t>
      </w:r>
    </w:p>
    <w:p w14:paraId="3E54FF24"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六、一般公共预算财政拨款基本支出决算情况说明</w:t>
      </w:r>
    </w:p>
    <w:p w14:paraId="462E1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七、政府性基金预算收入支出决算情况</w:t>
      </w:r>
    </w:p>
    <w:p w14:paraId="64084A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yellow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</w:rPr>
        <w:t>八、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国有资本经营预算财政拨款支出决算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情况</w:t>
      </w:r>
    </w:p>
    <w:p w14:paraId="0B9146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九、财政拨款三公经费支出决算情况说明</w:t>
      </w:r>
    </w:p>
    <w:p w14:paraId="37E7AD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十、关于机关运行经费支出说明</w:t>
      </w:r>
    </w:p>
    <w:p w14:paraId="67E3C6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十一、一般性支出情况说明</w:t>
      </w:r>
    </w:p>
    <w:p w14:paraId="097A5F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十二、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关于政府采购支出说明</w:t>
      </w:r>
    </w:p>
    <w:p w14:paraId="4598F4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-SA"/>
        </w:rPr>
        <w:t>十三、关于国有资产占用情况说明</w:t>
      </w:r>
    </w:p>
    <w:p w14:paraId="2CAC7B63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  <w:lang w:val="en-US" w:eastAsia="zh-CN" w:bidi="ar-SA"/>
        </w:rPr>
        <w:t>十四、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关于</w:t>
      </w:r>
      <w:r>
        <w:rPr>
          <w:rFonts w:hint="eastAsia" w:ascii="Times New Roman" w:hAnsi="Times New Roman" w:eastAsia="仿宋_GB2312" w:cs="Times New Roman"/>
          <w:sz w:val="28"/>
          <w:szCs w:val="28"/>
          <w:highlight w:val="none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度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预算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绩效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管理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情况的说明</w:t>
      </w:r>
    </w:p>
    <w:p w14:paraId="34CDC102">
      <w:pPr>
        <w:pStyle w:val="12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第四部分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名词解释</w:t>
      </w:r>
    </w:p>
    <w:p w14:paraId="58361344">
      <w:pPr>
        <w:pStyle w:val="12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</w:t>
      </w:r>
      <w:r>
        <w:rPr>
          <w:rFonts w:hint="eastAsia" w:hAnsi="黑体" w:cs="黑体"/>
          <w:b w:val="0"/>
          <w:bCs/>
          <w:sz w:val="28"/>
          <w:szCs w:val="28"/>
          <w:lang w:eastAsia="zh-CN"/>
        </w:rPr>
        <w:t>五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hAnsi="黑体" w:cs="黑体"/>
          <w:b w:val="0"/>
          <w:bCs/>
          <w:sz w:val="28"/>
          <w:szCs w:val="28"/>
          <w:lang w:eastAsia="zh-CN"/>
        </w:rPr>
        <w:t>附件</w:t>
      </w:r>
    </w:p>
    <w:p w14:paraId="2CD5795D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01719282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18EA4A96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 xml:space="preserve">第一部分 </w:t>
      </w:r>
    </w:p>
    <w:p w14:paraId="6A58859A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159A0787">
      <w:pPr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  <w:lang w:val="en-US" w:eastAsia="zh-CN"/>
        </w:rPr>
        <w:t>岳阳市强制隔离戒毒所</w:t>
      </w: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单位概况</w:t>
      </w:r>
    </w:p>
    <w:p w14:paraId="3DFE0AC3">
      <w:pPr>
        <w:pStyle w:val="7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4C18DCC8">
      <w:pPr>
        <w:pStyle w:val="3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20013F81">
      <w:pPr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64036A9D">
      <w:pPr>
        <w:pStyle w:val="7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0822DE65">
      <w:pPr>
        <w:pStyle w:val="3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48BC8849">
      <w:pPr>
        <w:pStyle w:val="13"/>
        <w:numPr>
          <w:ilvl w:val="0"/>
          <w:numId w:val="1"/>
        </w:numPr>
        <w:ind w:firstLineChars="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部门职责</w:t>
      </w:r>
    </w:p>
    <w:p w14:paraId="766ECC70">
      <w:pPr>
        <w:ind w:firstLine="640" w:firstLineChars="200"/>
        <w:jc w:val="lef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（一）</w:t>
      </w:r>
      <w:r>
        <w:rPr>
          <w:rFonts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依法履行对强制隔离戒毒、戒毒康复的管理教育。</w:t>
      </w:r>
    </w:p>
    <w:p w14:paraId="04F0D39B">
      <w:pPr>
        <w:pStyle w:val="7"/>
        <w:rPr>
          <w:rFonts w:hint="default" w:eastAsia="仿宋_GB231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 </w:t>
      </w:r>
    </w:p>
    <w:p w14:paraId="3ECC91F5">
      <w:pPr>
        <w:numPr>
          <w:ilvl w:val="0"/>
          <w:numId w:val="0"/>
        </w:numPr>
        <w:ind w:firstLine="640" w:firstLineChars="200"/>
        <w:jc w:val="left"/>
        <w:rPr>
          <w:rFonts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（二）</w:t>
      </w:r>
      <w:r>
        <w:rPr>
          <w:rFonts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对社区戒毒、康复工作提供指导和支持职责。</w:t>
      </w:r>
    </w:p>
    <w:p w14:paraId="6F090B96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二、机构设置及决算单位构成</w:t>
      </w:r>
    </w:p>
    <w:p w14:paraId="17FB4DAD">
      <w:pPr>
        <w:widowControl/>
        <w:spacing w:line="600" w:lineRule="exact"/>
        <w:ind w:firstLine="960" w:firstLineChars="300"/>
        <w:rPr>
          <w:rFonts w:hint="eastAsia"/>
        </w:rPr>
      </w:pP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（一）内设机构设置</w:t>
      </w:r>
      <w:r>
        <w:rPr>
          <w:rFonts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。岳阳市强制隔离戒毒所单位内设机构包括：办公室、政工科、装备财务保障科、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习艺生产科、</w:t>
      </w:r>
      <w:r>
        <w:rPr>
          <w:rFonts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强制隔离戒毒管理科、教育矫治科、社区戒毒（康复）指导科、生活医疗科、纪检监察室、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1</w:t>
      </w:r>
      <w:r>
        <w:rPr>
          <w:rFonts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个常规矫治大队、康复教育大队、医疗戒护大队、警戒护卫大队、回归适应大队。</w:t>
      </w:r>
    </w:p>
    <w:p w14:paraId="13F0E548">
      <w:pPr>
        <w:jc w:val="left"/>
        <w:rPr>
          <w:rFonts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（二）决算单位构成。</w:t>
      </w:r>
      <w:r>
        <w:rPr>
          <w:rFonts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岳阳市强制隔离戒毒所202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5</w:t>
      </w:r>
      <w:r>
        <w:rPr>
          <w:rFonts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年部门决算汇总公开单位构成包括：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eastAsia="zh-CN"/>
        </w:rPr>
        <w:t>本单位无独立核算的下属单位，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2025年度部门决算汇总公开单位仅包括岳阳市强制隔离戒毒所单位本级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。</w:t>
      </w:r>
    </w:p>
    <w:p w14:paraId="43791041"/>
    <w:p w14:paraId="41F48110">
      <w:pPr>
        <w:pStyle w:val="7"/>
      </w:pPr>
    </w:p>
    <w:p w14:paraId="0BD97B1E">
      <w:pPr>
        <w:pStyle w:val="3"/>
      </w:pPr>
    </w:p>
    <w:p w14:paraId="7326946C"/>
    <w:p w14:paraId="645F9394">
      <w:pPr>
        <w:pStyle w:val="7"/>
      </w:pPr>
    </w:p>
    <w:p w14:paraId="578A7FE1">
      <w:pPr>
        <w:pStyle w:val="3"/>
      </w:pPr>
    </w:p>
    <w:p w14:paraId="72470DCC"/>
    <w:p w14:paraId="40B1D580">
      <w:pPr>
        <w:pStyle w:val="7"/>
      </w:pPr>
    </w:p>
    <w:p w14:paraId="0E23BA89">
      <w:pPr>
        <w:pStyle w:val="3"/>
      </w:pPr>
    </w:p>
    <w:p w14:paraId="63128078"/>
    <w:p w14:paraId="265129AE">
      <w:pPr>
        <w:pStyle w:val="7"/>
      </w:pPr>
    </w:p>
    <w:p w14:paraId="30D35D0D">
      <w:pPr>
        <w:pStyle w:val="3"/>
      </w:pPr>
    </w:p>
    <w:p w14:paraId="61F57B49"/>
    <w:p w14:paraId="238B4096">
      <w:pPr>
        <w:pStyle w:val="7"/>
      </w:pPr>
    </w:p>
    <w:p w14:paraId="5D665092">
      <w:pPr>
        <w:pStyle w:val="3"/>
      </w:pPr>
    </w:p>
    <w:p w14:paraId="5D84FF0B"/>
    <w:p w14:paraId="171CA5A3">
      <w:pPr>
        <w:pStyle w:val="7"/>
      </w:pPr>
    </w:p>
    <w:p w14:paraId="31E445B4">
      <w:pPr>
        <w:pStyle w:val="3"/>
      </w:pPr>
    </w:p>
    <w:p w14:paraId="217FE3CE"/>
    <w:p w14:paraId="74047449">
      <w:pPr>
        <w:pStyle w:val="7"/>
      </w:pPr>
    </w:p>
    <w:p w14:paraId="0D2072CD">
      <w:pPr>
        <w:pStyle w:val="3"/>
      </w:pPr>
    </w:p>
    <w:p w14:paraId="677BCCF1"/>
    <w:p w14:paraId="67D23CBA">
      <w:pPr>
        <w:pStyle w:val="7"/>
      </w:pPr>
    </w:p>
    <w:p w14:paraId="68628461">
      <w:pPr>
        <w:pStyle w:val="3"/>
      </w:pPr>
    </w:p>
    <w:p w14:paraId="51D072CD"/>
    <w:p w14:paraId="5BEBCA29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3C53BCD2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3369194F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第二部分</w:t>
      </w:r>
    </w:p>
    <w:p w14:paraId="7D1916C4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5C6DE727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部门决算表</w:t>
      </w:r>
    </w:p>
    <w:p w14:paraId="114EE9C5">
      <w:pPr>
        <w:pStyle w:val="12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  <w:t>（见附件）</w:t>
      </w:r>
    </w:p>
    <w:p w14:paraId="54AB3984">
      <w:pPr>
        <w:pStyle w:val="12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3F938804">
      <w:pPr>
        <w:pStyle w:val="12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0FE1E9D1">
      <w:pPr>
        <w:pStyle w:val="12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7FFFD063">
      <w:pPr>
        <w:pStyle w:val="12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7BACF812">
      <w:pPr>
        <w:pStyle w:val="12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460466D7">
      <w:pPr>
        <w:pStyle w:val="12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34BC050E">
      <w:pPr>
        <w:pStyle w:val="12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131DF47B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7666CC76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26F6EE70">
      <w:pPr>
        <w:pStyle w:val="12"/>
        <w:jc w:val="both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65F92DC8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第三部分</w:t>
      </w:r>
    </w:p>
    <w:p w14:paraId="06F186E0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03480F41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  <w:r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  <w:t>2025年</w:t>
      </w:r>
      <w:r>
        <w:rPr>
          <w:rFonts w:hint="eastAsia" w:ascii="方正小标宋_GBK" w:hAnsi="方正小标宋_GBK" w:eastAsia="方正小标宋_GBK" w:cs="方正小标宋_GBK"/>
          <w:sz w:val="70"/>
          <w:szCs w:val="70"/>
        </w:rPr>
        <w:t>度部门决算情况说明</w:t>
      </w:r>
    </w:p>
    <w:p w14:paraId="2F5BFAFB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116A0369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68E316A9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09D4C02F">
      <w:pPr>
        <w:pStyle w:val="12"/>
        <w:jc w:val="both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6587331B"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说明：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</w:rPr>
        <w:t>由于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部门</w:t>
      </w:r>
      <w:r>
        <w:rPr>
          <w:rFonts w:hint="eastAsia" w:ascii="仿宋_GB2312" w:hAnsi="仿宋_GB2312" w:eastAsia="仿宋_GB2312" w:cs="仿宋_GB2312"/>
          <w:sz w:val="32"/>
          <w:szCs w:val="32"/>
        </w:rPr>
        <w:t>决算编制时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数据</w:t>
      </w:r>
      <w:r>
        <w:rPr>
          <w:rFonts w:hint="eastAsia" w:ascii="仿宋_GB2312" w:hAnsi="仿宋_GB2312" w:eastAsia="仿宋_GB2312" w:cs="仿宋_GB2312"/>
          <w:sz w:val="32"/>
          <w:szCs w:val="32"/>
        </w:rPr>
        <w:t>明细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至“金额单位：元</w:t>
      </w:r>
      <w:r>
        <w:rPr>
          <w:rFonts w:hint="eastAsia" w:ascii="仿宋_GB2312" w:hAnsi="仿宋_GB2312" w:eastAsia="仿宋_GB2312" w:cs="仿宋_GB2312"/>
          <w:sz w:val="32"/>
          <w:szCs w:val="32"/>
        </w:rPr>
        <w:t>”，而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本套部门决算文字说明</w:t>
      </w:r>
      <w:r>
        <w:rPr>
          <w:rFonts w:hint="eastAsia" w:ascii="仿宋_GB2312" w:hAnsi="仿宋_GB2312" w:eastAsia="仿宋_GB2312" w:cs="仿宋_GB2312"/>
          <w:sz w:val="32"/>
          <w:szCs w:val="32"/>
        </w:rPr>
        <w:t>和公开表格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数据</w:t>
      </w:r>
      <w:r>
        <w:rPr>
          <w:rFonts w:hint="eastAsia" w:ascii="仿宋_GB2312" w:hAnsi="仿宋_GB2312" w:eastAsia="仿宋_GB2312" w:cs="仿宋_GB2312"/>
          <w:sz w:val="32"/>
          <w:szCs w:val="32"/>
        </w:rPr>
        <w:t>取数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转换为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金额单位：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万元”，可能导致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以下文字说明中的各项数据取数以及公开</w:t>
      </w:r>
      <w:r>
        <w:rPr>
          <w:rFonts w:hint="eastAsia" w:ascii="仿宋_GB2312" w:hAnsi="仿宋_GB2312" w:eastAsia="仿宋_GB2312" w:cs="仿宋_GB2312"/>
          <w:sz w:val="32"/>
          <w:szCs w:val="32"/>
        </w:rPr>
        <w:t>表格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中的各项数据取数之间存在</w:t>
      </w:r>
      <w:r>
        <w:rPr>
          <w:rFonts w:hint="eastAsia" w:ascii="仿宋_GB2312" w:hAnsi="仿宋_GB2312" w:eastAsia="仿宋_GB2312" w:cs="仿宋_GB2312"/>
          <w:sz w:val="32"/>
          <w:szCs w:val="32"/>
        </w:rPr>
        <w:t>0.01的尾数差异。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2、以下文字说明中，部分科目由于预算数为0，无法计算完成年初预算的百分比，故未描述“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完成年初预算的XX%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”。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7D44D360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一、收入支出决算总体情况说明</w:t>
      </w:r>
    </w:p>
    <w:p w14:paraId="4005897C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度收、支总计4527.92万元。与上年相比，增加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1356.99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万元，增长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42.79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%，主要是因为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2025年增加1206万元新所迁建资金。</w:t>
      </w:r>
    </w:p>
    <w:p w14:paraId="575C0F22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二、收入决算情况说明</w:t>
      </w:r>
    </w:p>
    <w:p w14:paraId="0FD86AF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度收入合计4505.67万元，其中：财政拨款收入4483.26万元，占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99.5</w:t>
      </w:r>
      <w:r>
        <w:rPr>
          <w:rFonts w:hint="eastAsia" w:ascii="仿宋_GB2312" w:hAnsi="仿宋_GB2312" w:eastAsia="仿宋_GB2312" w:cs="仿宋_GB2312"/>
          <w:sz w:val="32"/>
          <w:szCs w:val="32"/>
        </w:rPr>
        <w:t>%；上级补助收入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%；事业收入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%；经营收入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%；附属单位上缴收入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%；其他收入22.41万元，占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0.5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 w14:paraId="41BF705F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三、支出决算情况说明</w:t>
      </w:r>
    </w:p>
    <w:p w14:paraId="6391DBE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度支出合计4505.5万元，其中：基本支出3068.03万元，占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68.1</w:t>
      </w:r>
      <w:r>
        <w:rPr>
          <w:rFonts w:hint="eastAsia" w:ascii="仿宋_GB2312" w:hAnsi="仿宋_GB2312" w:eastAsia="仿宋_GB2312" w:cs="仿宋_GB2312"/>
          <w:sz w:val="32"/>
          <w:szCs w:val="32"/>
        </w:rPr>
        <w:t>%；项目支出1437.47万元，占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31.9</w:t>
      </w:r>
      <w:r>
        <w:rPr>
          <w:rFonts w:hint="eastAsia" w:ascii="仿宋_GB2312" w:hAnsi="仿宋_GB2312" w:eastAsia="仿宋_GB2312" w:cs="仿宋_GB2312"/>
          <w:sz w:val="32"/>
          <w:szCs w:val="32"/>
        </w:rPr>
        <w:t>%；上缴上级支出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%；经营支出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%；对附属单位补助支出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 w14:paraId="2F3F40B8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四、财政拨款收入支出决算总体情况说明</w:t>
      </w:r>
    </w:p>
    <w:p w14:paraId="0B90F6CB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度财政拨款收、支总计4483.26万元，与上年相比，增加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1363.78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万元,增长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43.72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%，主要是因为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2025年增加1206万元新所迁建资金。</w:t>
      </w:r>
    </w:p>
    <w:p w14:paraId="19F7757B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五、一般公共预算财政拨款支出决算情况说明</w:t>
      </w:r>
    </w:p>
    <w:p w14:paraId="7E70BF49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（一）一般公共预算财政拨款支出决算总体情况</w:t>
      </w:r>
    </w:p>
    <w:p w14:paraId="2E89523E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度财政拨款支出4483.26万元，占本年支出合计的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99.51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%，与上年相比，财政拨款支出增加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1363.78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万元，增长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43.72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%，主要是因为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2025年增加1206万新所迁建资金。</w:t>
      </w:r>
    </w:p>
    <w:p w14:paraId="5742883F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（二）一般公共预算财政拨款支出决算结构情况</w:t>
      </w:r>
    </w:p>
    <w:p w14:paraId="4C208794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度财政拨款支出4483.26万元，主要用于以下方面：一般公共服务（类）支出80.35万元，占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1.79</w:t>
      </w:r>
      <w:r>
        <w:rPr>
          <w:rFonts w:hint="eastAsia" w:ascii="仿宋_GB2312" w:hAnsi="仿宋_GB2312" w:eastAsia="仿宋_GB2312" w:cs="仿宋_GB2312"/>
          <w:sz w:val="32"/>
          <w:szCs w:val="32"/>
        </w:rPr>
        <w:t>%；公共安全（类）支出3995.51万元，占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89.12</w:t>
      </w:r>
      <w:r>
        <w:rPr>
          <w:rFonts w:hint="eastAsia" w:ascii="仿宋_GB2312" w:hAnsi="仿宋_GB2312" w:eastAsia="仿宋_GB2312" w:cs="仿宋_GB2312"/>
          <w:sz w:val="32"/>
          <w:szCs w:val="32"/>
        </w:rPr>
        <w:t>%;社会保障和就业（类）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支出261.11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5.82</w:t>
      </w:r>
      <w:r>
        <w:rPr>
          <w:rFonts w:hint="eastAsia" w:ascii="仿宋_GB2312" w:hAnsi="仿宋_GB2312" w:eastAsia="仿宋_GB2312" w:cs="仿宋_GB2312"/>
          <w:sz w:val="32"/>
          <w:szCs w:val="32"/>
        </w:rPr>
        <w:t>%;住房保障支出（类）支出146.29万元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3.27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180FDE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（三）一般公共预算财政拨款支出决算具体情况</w:t>
      </w:r>
    </w:p>
    <w:p w14:paraId="3726CC10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度财政拨款支出年初预算数为2812.14万元，支出决算数为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4483.26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159.42</w:t>
      </w:r>
      <w:r>
        <w:rPr>
          <w:rFonts w:hint="eastAsia" w:ascii="仿宋_GB2312" w:hAnsi="仿宋_GB2312" w:eastAsia="仿宋_GB2312" w:cs="仿宋_GB2312"/>
          <w:sz w:val="32"/>
          <w:szCs w:val="32"/>
        </w:rPr>
        <w:t>%，其中：</w:t>
      </w:r>
    </w:p>
    <w:p w14:paraId="5C5BDB6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1、一般公共服务（类）政府办公厅（室）及相关机构事务（款）行政运行（项）。</w:t>
      </w:r>
    </w:p>
    <w:p w14:paraId="1C5293A9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80.35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80.35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等于</w:t>
      </w:r>
      <w:r>
        <w:rPr>
          <w:rFonts w:hint="eastAsia" w:ascii="仿宋_GB2312" w:hAnsi="仿宋_GB2312" w:eastAsia="仿宋_GB2312" w:cs="仿宋_GB2312"/>
          <w:sz w:val="32"/>
          <w:szCs w:val="32"/>
        </w:rPr>
        <w:t>年初预算数的主要原因是：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我单位严格按预算执行决算。</w:t>
      </w:r>
    </w:p>
    <w:p w14:paraId="15859BF6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2、公共安全支出（类）司法（款）行政运行（项）。</w:t>
      </w:r>
    </w:p>
    <w:p w14:paraId="64D0B76B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因年初预算为0无法计算百分比</w:t>
      </w:r>
      <w:r>
        <w:rPr>
          <w:rFonts w:hint="eastAsia" w:ascii="仿宋_GB2312" w:hAnsi="仿宋_GB2312" w:eastAsia="仿宋_GB2312" w:cs="仿宋_GB2312"/>
          <w:sz w:val="32"/>
          <w:szCs w:val="32"/>
        </w:rPr>
        <w:t>，决算数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等于</w:t>
      </w:r>
      <w:r>
        <w:rPr>
          <w:rFonts w:hint="eastAsia" w:ascii="仿宋_GB2312" w:hAnsi="仿宋_GB2312" w:eastAsia="仿宋_GB2312" w:cs="仿宋_GB2312"/>
          <w:sz w:val="32"/>
          <w:szCs w:val="32"/>
        </w:rPr>
        <w:t>年初预算数的主要原因是：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上级调拨一台公务用车，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年中追加一台公务用车预算。</w:t>
      </w:r>
    </w:p>
    <w:p w14:paraId="44B65619"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600" w:lineRule="exact"/>
        <w:ind w:left="40" w:leftChars="0" w:firstLine="80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公共安全支出（类）司法（款）其他司法支出（项）</w:t>
      </w:r>
    </w:p>
    <w:p w14:paraId="238EA75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181.42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181.42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等于</w:t>
      </w:r>
      <w:r>
        <w:rPr>
          <w:rFonts w:hint="eastAsia" w:ascii="仿宋_GB2312" w:hAnsi="仿宋_GB2312" w:eastAsia="仿宋_GB2312" w:cs="仿宋_GB2312"/>
          <w:sz w:val="32"/>
          <w:szCs w:val="32"/>
        </w:rPr>
        <w:t>年初预算数的主要原因是：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我单位严格按预算执行决算。</w:t>
      </w:r>
    </w:p>
    <w:p w14:paraId="2B0F6E6C"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600" w:lineRule="exact"/>
        <w:ind w:left="40" w:leftChars="0" w:firstLine="80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公共安全支出（类）强制隔离戒毒（款）行政运行（项）</w:t>
      </w:r>
    </w:p>
    <w:p w14:paraId="153BDAB9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1979.15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2131.46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107.7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大于</w:t>
      </w:r>
      <w:r>
        <w:rPr>
          <w:rFonts w:hint="eastAsia" w:ascii="仿宋_GB2312" w:hAnsi="仿宋_GB2312" w:eastAsia="仿宋_GB2312" w:cs="仿宋_GB2312"/>
          <w:sz w:val="32"/>
          <w:szCs w:val="32"/>
        </w:rPr>
        <w:t>年初预算数的主要原因是：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单位工资调标，工资福利支出补差。</w:t>
      </w:r>
    </w:p>
    <w:p w14:paraId="14F5B46F"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600" w:lineRule="exact"/>
        <w:ind w:left="40" w:leftChars="0" w:firstLine="80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公共安全支出（类）强制隔离戒毒（款）一般行政管理事务（项）</w:t>
      </w:r>
    </w:p>
    <w:p w14:paraId="2C71799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153.82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153.82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等于</w:t>
      </w:r>
      <w:r>
        <w:rPr>
          <w:rFonts w:hint="eastAsia" w:ascii="仿宋_GB2312" w:hAnsi="仿宋_GB2312" w:eastAsia="仿宋_GB2312" w:cs="仿宋_GB2312"/>
          <w:sz w:val="32"/>
          <w:szCs w:val="32"/>
        </w:rPr>
        <w:t>年初预算数的主要原因是：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我单位严格按预算执行决算。</w:t>
      </w:r>
    </w:p>
    <w:p w14:paraId="1680072D"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600" w:lineRule="exact"/>
        <w:ind w:left="40" w:leftChars="0" w:firstLine="80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公共安全支出（类）强制隔离戒毒（款）所政设施建设（项）</w:t>
      </w:r>
    </w:p>
    <w:p w14:paraId="625E7942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等于</w:t>
      </w:r>
      <w:r>
        <w:rPr>
          <w:rFonts w:hint="eastAsia" w:ascii="仿宋_GB2312" w:hAnsi="仿宋_GB2312" w:eastAsia="仿宋_GB2312" w:cs="仿宋_GB2312"/>
          <w:sz w:val="32"/>
          <w:szCs w:val="32"/>
        </w:rPr>
        <w:t>年初预算数的主要原因是：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我单位严格按预算执行决算。</w:t>
      </w:r>
    </w:p>
    <w:p w14:paraId="6B713DAF"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600" w:lineRule="exact"/>
        <w:ind w:left="40" w:leftChars="0" w:firstLine="80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公共安全支出（类）强制隔离戒毒（款）其他强制隔离戒毒支出（项）</w:t>
      </w:r>
    </w:p>
    <w:p w14:paraId="47C439F8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1515.81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因年初预算为0无法计算百分比</w:t>
      </w:r>
      <w:r>
        <w:rPr>
          <w:rFonts w:hint="eastAsia" w:ascii="仿宋_GB2312" w:hAnsi="仿宋_GB2312" w:eastAsia="仿宋_GB2312" w:cs="仿宋_GB2312"/>
          <w:sz w:val="32"/>
          <w:szCs w:val="32"/>
        </w:rPr>
        <w:t>，决算数大于年初预算数的主要原因是：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年中追加搬所迁建资金。</w:t>
      </w:r>
    </w:p>
    <w:p w14:paraId="337FB46B"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600" w:lineRule="exact"/>
        <w:ind w:left="40" w:leftChars="0" w:firstLine="80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社会保障和就业支出（类）行政事业单位养老支出（款）机关事业单位基本养老保险缴费支出（项）</w:t>
      </w:r>
    </w:p>
    <w:p w14:paraId="3726A43C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201.76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201.76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%，决算数大于（小于）年初预算数的主要原因是：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我单位严格按预算执行决算。</w:t>
      </w:r>
    </w:p>
    <w:p w14:paraId="0DCF0A70"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600" w:lineRule="exact"/>
        <w:ind w:left="40" w:leftChars="0" w:firstLine="80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社会保障和就业支出（类）抚恤（款）其他优抚支出（项）</w:t>
      </w:r>
    </w:p>
    <w:p w14:paraId="7CC4ECDC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42.26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42.26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等于</w:t>
      </w:r>
      <w:r>
        <w:rPr>
          <w:rFonts w:hint="eastAsia" w:ascii="仿宋_GB2312" w:hAnsi="仿宋_GB2312" w:eastAsia="仿宋_GB2312" w:cs="仿宋_GB2312"/>
          <w:sz w:val="32"/>
          <w:szCs w:val="32"/>
        </w:rPr>
        <w:t>年初预算数的主要原因是：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我单位严格按预算执行决算。</w:t>
      </w:r>
    </w:p>
    <w:p w14:paraId="4895190C"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600" w:lineRule="exact"/>
        <w:ind w:left="40" w:leftChars="0" w:firstLine="80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社会保障和就业支出（类）残疾人事业（款）其他残疾人事业支出（项）</w:t>
      </w:r>
    </w:p>
    <w:p w14:paraId="56DE718B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14.57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14.57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等于</w:t>
      </w:r>
      <w:r>
        <w:rPr>
          <w:rFonts w:hint="eastAsia" w:ascii="仿宋_GB2312" w:hAnsi="仿宋_GB2312" w:eastAsia="仿宋_GB2312" w:cs="仿宋_GB2312"/>
          <w:sz w:val="32"/>
          <w:szCs w:val="32"/>
        </w:rPr>
        <w:t>年初预算数的主要原因是：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我单位严格按预算执行决算。</w:t>
      </w:r>
    </w:p>
    <w:p w14:paraId="026E2385"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600" w:lineRule="exact"/>
        <w:ind w:left="40" w:leftChars="0" w:firstLine="80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社会保障和就业支出（类）其他社会保障和就业支出（款）其他社会保障和就业支出（项）</w:t>
      </w:r>
    </w:p>
    <w:p w14:paraId="702F239B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2.52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2.52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等于</w:t>
      </w:r>
      <w:r>
        <w:rPr>
          <w:rFonts w:hint="eastAsia" w:ascii="仿宋_GB2312" w:hAnsi="仿宋_GB2312" w:eastAsia="仿宋_GB2312" w:cs="仿宋_GB2312"/>
          <w:sz w:val="32"/>
          <w:szCs w:val="32"/>
        </w:rPr>
        <w:t>年初预算数的主要原因是：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我单位严格按预算执行决算。</w:t>
      </w:r>
    </w:p>
    <w:p w14:paraId="0C43923C"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600" w:lineRule="exact"/>
        <w:ind w:left="40" w:leftChars="0" w:firstLine="80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住房保障支出（类）住房改革支出（款）住房公积金（项）</w:t>
      </w:r>
    </w:p>
    <w:p w14:paraId="03F3AA3D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146.29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146.29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等于</w:t>
      </w:r>
      <w:r>
        <w:rPr>
          <w:rFonts w:hint="eastAsia" w:ascii="仿宋_GB2312" w:hAnsi="仿宋_GB2312" w:eastAsia="仿宋_GB2312" w:cs="仿宋_GB2312"/>
          <w:sz w:val="32"/>
          <w:szCs w:val="32"/>
        </w:rPr>
        <w:t>年初预算数的主要原因是：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我单位严格按预算执行决算。</w:t>
      </w:r>
    </w:p>
    <w:p w14:paraId="4910EA5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六、一般公共预算财政拨款基本支出决算情况说明</w:t>
      </w:r>
    </w:p>
    <w:p w14:paraId="615C14E9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一般公共预算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财政拨款基本支出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3045.8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</w:t>
      </w:r>
    </w:p>
    <w:p w14:paraId="586E405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人员经费</w:t>
      </w:r>
      <w:r>
        <w:rPr>
          <w:rFonts w:hint="eastAsia" w:ascii="仿宋_GB2312" w:hAnsi="仿宋_GB2312" w:eastAsia="仿宋_GB2312" w:cs="仿宋_GB2312"/>
          <w:sz w:val="32"/>
          <w:szCs w:val="32"/>
        </w:rPr>
        <w:t>2747.87万元，占基本支出的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90.22</w:t>
      </w:r>
      <w:r>
        <w:rPr>
          <w:rFonts w:hint="eastAsia" w:ascii="仿宋_GB2312" w:hAnsi="仿宋_GB2312" w:eastAsia="仿宋_GB2312" w:cs="仿宋_GB2312"/>
          <w:sz w:val="32"/>
          <w:szCs w:val="32"/>
        </w:rPr>
        <w:t>%,主要包括基本工资、津贴补贴、奖金、伙食补助费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 机关事业单位基本养老保险缴费、 职工基本医疗保险缴费、其他社会保障缴费、 住房公积金、 医疗费、其他工资福利支出、 退休费、 抚恤金、生活补助、医疗费补助、奖励金、其他对个人和家庭的补助。</w:t>
      </w:r>
    </w:p>
    <w:p w14:paraId="4D5D92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公用经费</w:t>
      </w:r>
      <w:r>
        <w:rPr>
          <w:rFonts w:hint="eastAsia" w:ascii="仿宋_GB2312" w:hAnsi="仿宋_GB2312" w:eastAsia="仿宋_GB2312" w:cs="仿宋_GB2312"/>
          <w:sz w:val="32"/>
          <w:szCs w:val="32"/>
        </w:rPr>
        <w:t>297.93万元，占基本支出的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9.78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%，主要包括办公费、印刷费、咨询费、手续费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水费、电费、邮电费、物业管理费、差旅费、维修（护）费、租赁费、培训费、公务接待费、专用材料费、劳务费、工会经费、福利费、公务用车运行维护费、其他交通费用、其他商品和服务支出、办公设备购置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6C864C7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七、政府性基金预算收入支出决算情况</w:t>
      </w:r>
    </w:p>
    <w:p w14:paraId="68FE46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textAlignment w:val="auto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度政府性基金预算财政拨款收入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万元；年初结转和结余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万元，项目支出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万元；年末结转和结余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</w:t>
      </w:r>
    </w:p>
    <w:p w14:paraId="4FC7B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-SA"/>
        </w:rPr>
        <w:t>八、国有资本经营预算财政拨款支出决算情况</w:t>
      </w:r>
    </w:p>
    <w:p w14:paraId="091EB2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2025年度国有资本经营预算财政拨款收入0万元；年初结转和结余0万元；支出0万元，</w:t>
      </w:r>
      <w:r>
        <w:rPr>
          <w:rFonts w:hint="eastAsia" w:ascii="仿宋_GB2312" w:hAnsi="仿宋_GB2312" w:eastAsia="仿宋_GB2312" w:cs="仿宋_GB2312"/>
          <w:i w:val="0"/>
          <w:iCs/>
          <w:color w:val="000000" w:themeColor="text1"/>
          <w:ker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其中：基本支出0万元，项目支出0万元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；年末结转和结余0万元。</w:t>
      </w:r>
    </w:p>
    <w:p w14:paraId="427C2660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hAnsi="黑体" w:cs="黑体"/>
          <w:b w:val="0"/>
          <w:bCs/>
          <w:sz w:val="32"/>
          <w:szCs w:val="32"/>
          <w:lang w:eastAsia="zh-CN"/>
        </w:rPr>
        <w:t>九、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财政拨款三公经费支出决算情况说明</w:t>
      </w:r>
    </w:p>
    <w:p w14:paraId="0CFA4FAD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（一）</w:t>
      </w:r>
      <w:r>
        <w:rPr>
          <w:rFonts w:hint="eastAsia" w:ascii="Times New Roman" w:hAnsi="Times New Roman" w:eastAsia="楷体_GB2312" w:cs="Times New Roman"/>
          <w:b/>
          <w:sz w:val="32"/>
          <w:szCs w:val="32"/>
          <w:lang w:eastAsia="zh-CN"/>
        </w:rPr>
        <w:t>“三公”</w:t>
      </w:r>
      <w:r>
        <w:rPr>
          <w:rFonts w:ascii="Times New Roman" w:hAnsi="Times New Roman" w:eastAsia="楷体_GB2312" w:cs="Times New Roman"/>
          <w:b/>
          <w:sz w:val="32"/>
          <w:szCs w:val="32"/>
        </w:rPr>
        <w:t>经费财政拨款支出决算总体情况说明</w:t>
      </w:r>
    </w:p>
    <w:p w14:paraId="6A3F7A8C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  <w:highlight w:val="yellow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sz w:val="32"/>
          <w:szCs w:val="32"/>
        </w:rPr>
        <w:t>度“三公”经费财政拨款支出预算为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6.69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74.33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21.61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76.36</w:t>
      </w:r>
      <w:r>
        <w:rPr>
          <w:rFonts w:ascii="Times New Roman" w:hAnsi="Times New Roman" w:eastAsia="仿宋_GB2312" w:cs="Times New Roman"/>
          <w:sz w:val="32"/>
          <w:szCs w:val="32"/>
        </w:rPr>
        <w:t>%。决算数小于预算数的主要原因是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厉行节约，减少三公经费开支</w:t>
      </w:r>
      <w:r>
        <w:rPr>
          <w:rFonts w:ascii="Times New Roman" w:hAnsi="Times New Roman" w:eastAsia="仿宋_GB2312" w:cs="Times New Roman"/>
          <w:sz w:val="32"/>
          <w:szCs w:val="32"/>
        </w:rPr>
        <w:t>。决算数小于上年数的主要原因是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上年购置一台公务用车，今年无公务用车购置开支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61A5C4A0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（二）</w:t>
      </w:r>
      <w:r>
        <w:rPr>
          <w:rFonts w:hint="eastAsia" w:ascii="Times New Roman" w:hAnsi="Times New Roman" w:eastAsia="楷体_GB2312" w:cs="Times New Roman"/>
          <w:b/>
          <w:sz w:val="32"/>
          <w:szCs w:val="32"/>
          <w:lang w:eastAsia="zh-CN"/>
        </w:rPr>
        <w:t>“三公”</w:t>
      </w:r>
      <w:r>
        <w:rPr>
          <w:rFonts w:ascii="Times New Roman" w:hAnsi="Times New Roman" w:eastAsia="楷体_GB2312" w:cs="Times New Roman"/>
          <w:b/>
          <w:sz w:val="32"/>
          <w:szCs w:val="32"/>
        </w:rPr>
        <w:t>经费财政拨款支出决算具体情况说明</w:t>
      </w:r>
    </w:p>
    <w:p w14:paraId="675D686A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b/>
          <w:bCs/>
          <w:i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1.因公出国（境）费支出预算为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决算数等于预算数的主要原因是我单位严格按预算执行决算</w:t>
      </w:r>
      <w:r>
        <w:rPr>
          <w:rFonts w:ascii="Times New Roman" w:hAnsi="Times New Roman" w:eastAsia="仿宋_GB2312" w:cs="Times New Roman"/>
          <w:sz w:val="32"/>
          <w:szCs w:val="32"/>
        </w:rPr>
        <w:t>。决算数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等于</w:t>
      </w:r>
      <w:r>
        <w:rPr>
          <w:rFonts w:ascii="Times New Roman" w:hAnsi="Times New Roman" w:eastAsia="仿宋_GB2312" w:cs="Times New Roman"/>
          <w:sz w:val="32"/>
          <w:szCs w:val="32"/>
        </w:rPr>
        <w:t>上年数的主要原因是</w:t>
      </w:r>
      <w:r>
        <w:rPr>
          <w:rFonts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是未安排因公出国（境）活动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sz w:val="32"/>
          <w:szCs w:val="32"/>
        </w:rPr>
        <w:t>度安排因公出国（境）团组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个，累计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人次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62130424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2.公务用车购置费及运行维护费支出预算为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22.3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78.8</w:t>
      </w:r>
      <w:r>
        <w:rPr>
          <w:rFonts w:ascii="Times New Roman" w:hAnsi="Times New Roman" w:eastAsia="仿宋_GB2312" w:cs="Times New Roman"/>
          <w:sz w:val="32"/>
          <w:szCs w:val="32"/>
        </w:rPr>
        <w:t>%。其中：</w:t>
      </w:r>
    </w:p>
    <w:p w14:paraId="177A9BDB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公务用车购置费支出预算为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万元；与上年相比增减少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16.9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%。决算数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等于</w:t>
      </w:r>
      <w:r>
        <w:rPr>
          <w:rFonts w:ascii="Times New Roman" w:hAnsi="Times New Roman" w:eastAsia="仿宋_GB2312" w:cs="Times New Roman"/>
          <w:sz w:val="32"/>
          <w:szCs w:val="32"/>
        </w:rPr>
        <w:t>预算数的主要原因是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单位严格按预算执行决算</w:t>
      </w:r>
      <w:r>
        <w:rPr>
          <w:rFonts w:ascii="Times New Roman" w:hAnsi="Times New Roman" w:eastAsia="仿宋_GB2312" w:cs="Times New Roman"/>
          <w:sz w:val="32"/>
          <w:szCs w:val="32"/>
        </w:rPr>
        <w:t>，决算数小于上年数的主要原因是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今年没有公务用车购置安排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岳阳市强制隔离戒毒所</w:t>
      </w:r>
      <w:r>
        <w:rPr>
          <w:rFonts w:ascii="Times New Roman" w:hAnsi="Times New Roman" w:eastAsia="仿宋_GB2312" w:cs="Times New Roman"/>
          <w:sz w:val="32"/>
          <w:szCs w:val="32"/>
        </w:rPr>
        <w:t>更新公务用车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辆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03931E8F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" w:cs="Times New Roman"/>
          <w:b/>
          <w:bCs/>
          <w:i/>
          <w:color w:val="FF0000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公务用车运行维护费支出预算为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万元，主要是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公务用车加油、公务用车维修、公务用车保险</w:t>
      </w:r>
      <w:r>
        <w:rPr>
          <w:rFonts w:ascii="Times New Roman" w:hAnsi="Times New Roman" w:eastAsia="仿宋_GB2312" w:cs="Times New Roman"/>
          <w:sz w:val="32"/>
          <w:szCs w:val="32"/>
        </w:rPr>
        <w:t>支出，完成预算的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4.53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43.02</w:t>
      </w:r>
      <w:r>
        <w:rPr>
          <w:rFonts w:ascii="Times New Roman" w:hAnsi="Times New Roman" w:eastAsia="仿宋_GB2312" w:cs="Times New Roman"/>
          <w:sz w:val="32"/>
          <w:szCs w:val="32"/>
        </w:rPr>
        <w:t>%。决算数小于上年数的主要原因是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我单位严格按预算执行决算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截止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sz w:val="32"/>
          <w:szCs w:val="32"/>
        </w:rPr>
        <w:t>12月31日，我单位开支财政拨款的公务用车保有量为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辆。</w:t>
      </w:r>
    </w:p>
    <w:p w14:paraId="78229786">
      <w:pPr>
        <w:numPr>
          <w:ilvl w:val="0"/>
          <w:numId w:val="3"/>
        </w:numPr>
        <w:ind w:firstLine="640" w:firstLineChars="200"/>
        <w:rPr>
          <w:rFonts w:hint="eastAsia" w:ascii="Times New Roman" w:hAnsi="Times New Roman" w:eastAsia="仿宋_GB2312"/>
          <w:b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公务接待费支出预算为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</w:t>
      </w:r>
      <w:bookmarkStart w:id="0" w:name="_GoBack"/>
      <w:bookmarkEnd w:id="0"/>
      <w:r>
        <w:rPr>
          <w:rFonts w:ascii="Times New Roman" w:hAnsi="Times New Roman" w:eastAsia="仿宋_GB2312" w:cs="Times New Roman"/>
          <w:sz w:val="32"/>
          <w:szCs w:val="32"/>
        </w:rPr>
        <w:t>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0.69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23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0.18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20.69</w:t>
      </w:r>
      <w:r>
        <w:rPr>
          <w:rFonts w:ascii="Times New Roman" w:hAnsi="Times New Roman" w:eastAsia="仿宋_GB2312" w:cs="Times New Roman"/>
          <w:sz w:val="32"/>
          <w:szCs w:val="32"/>
        </w:rPr>
        <w:t>%。决算数小于预算数的主要原因是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本年中途取消公务接待</w:t>
      </w:r>
      <w:r>
        <w:rPr>
          <w:rFonts w:ascii="Times New Roman" w:hAnsi="Times New Roman" w:eastAsia="仿宋_GB2312" w:cs="Times New Roman"/>
          <w:sz w:val="32"/>
          <w:szCs w:val="32"/>
        </w:rPr>
        <w:t>。决算数小于上年数的主要原因是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厉行节约，严控公务接待支出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sz w:val="32"/>
          <w:szCs w:val="32"/>
        </w:rPr>
        <w:t>度共接待来访团组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ascii="Times New Roman" w:hAnsi="Times New Roman" w:eastAsia="仿宋_GB2312" w:cs="Times New Roman"/>
          <w:sz w:val="32"/>
          <w:szCs w:val="32"/>
        </w:rPr>
        <w:t>个、来宾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56</w:t>
      </w:r>
      <w:r>
        <w:rPr>
          <w:rFonts w:ascii="Times New Roman" w:hAnsi="Times New Roman" w:eastAsia="仿宋_GB2312" w:cs="Times New Roman"/>
          <w:sz w:val="32"/>
          <w:szCs w:val="32"/>
        </w:rPr>
        <w:t>人次，主要是发生的接待支出。</w:t>
      </w:r>
    </w:p>
    <w:p w14:paraId="269FFAF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/>
          <w:b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b/>
          <w:color w:val="auto"/>
          <w:sz w:val="32"/>
          <w:szCs w:val="32"/>
          <w:lang w:eastAsia="zh-CN"/>
        </w:rPr>
        <w:t>十</w:t>
      </w:r>
      <w:r>
        <w:rPr>
          <w:rFonts w:hint="eastAsia" w:ascii="Times New Roman" w:hAnsi="Times New Roman" w:eastAsia="仿宋_GB2312"/>
          <w:b/>
          <w:color w:val="auto"/>
          <w:sz w:val="32"/>
          <w:szCs w:val="32"/>
        </w:rPr>
        <w:t>、关于机关运行经费支出说明</w:t>
      </w:r>
    </w:p>
    <w:p w14:paraId="47B59C38">
      <w:pPr>
        <w:pStyle w:val="12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本部门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度机关运行经费支出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297.93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比年上年决算数减少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17.61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万元，降低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5.58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%。主要原因是：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厉行节约，缩减公用经费</w:t>
      </w:r>
      <w:r>
        <w:rPr>
          <w:rFonts w:hint="eastAsia" w:ascii="楷体" w:hAnsi="楷体" w:eastAsia="楷体" w:cs="楷体"/>
          <w:sz w:val="32"/>
          <w:szCs w:val="32"/>
        </w:rPr>
        <w:t>。</w:t>
      </w:r>
    </w:p>
    <w:p w14:paraId="31BFACA6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十</w:t>
      </w:r>
      <w:r>
        <w:rPr>
          <w:rFonts w:hint="eastAsia" w:hAnsi="黑体" w:cs="黑体"/>
          <w:b w:val="0"/>
          <w:bCs/>
          <w:sz w:val="32"/>
          <w:szCs w:val="32"/>
          <w:lang w:eastAsia="zh-CN"/>
        </w:rPr>
        <w:t>一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、一般性支出情况说明</w:t>
      </w:r>
    </w:p>
    <w:p w14:paraId="1070CD04">
      <w:pPr>
        <w:pStyle w:val="12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年度，会议费年初预算0万元，支出决算为0万元。本单位无会议费的预算和支出决算数。</w:t>
      </w:r>
    </w:p>
    <w:p w14:paraId="614ACF8E">
      <w:pPr>
        <w:widowControl w:val="0"/>
        <w:autoSpaceDE w:val="0"/>
        <w:autoSpaceDN w:val="0"/>
        <w:adjustRightInd w:val="0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培训费年初预算17万元，支出决算为16.89万元，完成年初预算的99.35%。用于开展警校警衔培训，人数35人，内容为到湖南省司法警官学院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开展晋司晋督培训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。</w:t>
      </w:r>
    </w:p>
    <w:p w14:paraId="7A69E28D">
      <w:pPr>
        <w:widowControl w:val="0"/>
        <w:autoSpaceDE w:val="0"/>
        <w:autoSpaceDN w:val="0"/>
        <w:adjustRightInd w:val="0"/>
        <w:ind w:firstLine="640" w:firstLineChars="200"/>
        <w:rPr>
          <w:rFonts w:hint="eastAsia" w:ascii="仿宋_GB2312" w:hAnsi="仿宋_GB2312" w:eastAsia="仿宋_GB2312" w:cs="仿宋_GB2312"/>
          <w:b/>
          <w:bCs/>
          <w:i/>
          <w:color w:val="FF0000"/>
          <w:kern w:val="0"/>
          <w:sz w:val="32"/>
          <w:szCs w:val="32"/>
          <w:highlight w:val="yellow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举办节庆、晚会、论坛、赛事活动年初预算0万元，支出决算为0万元，本单位无举办节庆、晚会、论坛、赛事等活动的预算和支出决算数。</w:t>
      </w:r>
    </w:p>
    <w:p w14:paraId="3633B6C8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十</w:t>
      </w:r>
      <w:r>
        <w:rPr>
          <w:rFonts w:hint="eastAsia" w:hAnsi="黑体" w:cs="黑体"/>
          <w:b w:val="0"/>
          <w:bCs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、关于政府采购支出说明</w:t>
      </w:r>
    </w:p>
    <w:p w14:paraId="0D065BDE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宋体" w:hAnsi="宋体" w:eastAsia="宋体"/>
          <w:i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单位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2025年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度政府采购支出总额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万元，其中：政府采购货物支出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万元、政府采购工程支出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万元、政府采购服务支出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万元。授予中小企业合同金额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（由于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政府采购支出总额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0，故无法计算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占政府采购支出总额的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比重）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，其中：授予小微企业合同金额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（由于授予中小企业合同金额为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0，故无法计算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占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授予中小企业合同金额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比重）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。货物采购授予中小企业合同金额占货物支出金额的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比重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，工程采购授予中小企业合同金额占工程支出金额的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比重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，服务采购授予中小企业合同金额占服务支出金额的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比重，由于以上各项合同金额为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0，故无法计算各项占比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2AF7BA26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十</w:t>
      </w:r>
      <w:r>
        <w:rPr>
          <w:rFonts w:hint="eastAsia" w:hAnsi="黑体" w:cs="黑体"/>
          <w:b w:val="0"/>
          <w:bCs/>
          <w:color w:val="auto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、关于国有资产占用情况说明</w:t>
      </w:r>
    </w:p>
    <w:p w14:paraId="418FAFFD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截至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12月31日，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共有车辆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辆，其中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，副部（省）级及以上领导用车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主要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负责人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机要通信用车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辆、应急保障用车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辆、执法执勤用车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辆、特种专业技术用车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离退休干部服务用车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辆、其他用车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辆；单位价值100万元以上设备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（不含车辆）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台（套）。</w:t>
      </w:r>
    </w:p>
    <w:p w14:paraId="23676A45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十</w:t>
      </w:r>
      <w:r>
        <w:rPr>
          <w:rFonts w:hint="eastAsia" w:hAnsi="黑体" w:cs="黑体"/>
          <w:b w:val="0"/>
          <w:bCs/>
          <w:color w:val="auto"/>
          <w:sz w:val="32"/>
          <w:szCs w:val="32"/>
          <w:highlight w:val="none"/>
          <w:lang w:eastAsia="zh-CN"/>
        </w:rPr>
        <w:t>四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、关于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2025年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度</w:t>
      </w:r>
      <w:r>
        <w:rPr>
          <w:rFonts w:hint="eastAsia" w:hAnsi="黑体" w:cs="黑体"/>
          <w:b w:val="0"/>
          <w:bCs/>
          <w:color w:val="auto"/>
          <w:sz w:val="32"/>
          <w:szCs w:val="32"/>
          <w:highlight w:val="none"/>
          <w:lang w:eastAsia="zh-CN"/>
        </w:rPr>
        <w:t>预算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绩效</w:t>
      </w:r>
      <w:r>
        <w:rPr>
          <w:rFonts w:hint="eastAsia" w:hAnsi="黑体" w:cs="黑体"/>
          <w:b w:val="0"/>
          <w:bCs/>
          <w:color w:val="auto"/>
          <w:sz w:val="32"/>
          <w:szCs w:val="32"/>
          <w:highlight w:val="none"/>
          <w:lang w:eastAsia="zh-CN"/>
        </w:rPr>
        <w:t>管理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情况的说明</w:t>
      </w:r>
    </w:p>
    <w:p w14:paraId="113C3264">
      <w:pPr>
        <w:overflowPunct w:val="0"/>
        <w:spacing w:line="600" w:lineRule="exact"/>
        <w:ind w:firstLine="640" w:firstLineChars="200"/>
        <w:rPr>
          <w:rFonts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（一）绩效评价工作开展情况</w:t>
      </w:r>
    </w:p>
    <w:p w14:paraId="2442119A">
      <w:pPr>
        <w:overflowPunct w:val="0"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/>
        </w:rPr>
        <w:t>绩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效自评开展情况。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组织对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度本部门（单位）整体支出开展绩效自评，涉及项目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个，共涉及资金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1437.47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万元。其中，一般公共预算项目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1437.47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万元，占一般公共预算支出总额的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31.9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%；政府性基金预算项目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万元；国有资本经营预算项目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万元；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社会保险基金预算项目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 xml:space="preserve"> 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 xml:space="preserve"> 万元。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绩效目标完成情况：一是戒毒人员做到应收尽收，全年收治戒毒人员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余人；二是保障场所全年安全稳定，无脱逃、伤亡等事故的发生；三是保障戒毒人员基本衣食住行、医疗、教育。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四是本年加强了禁毒宣传工作，禁毒宣传走进单位、走进校园、走进社区，宣传模式多样，宣传效果显著。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发现的主要问题及原因：一是资金保障不足，，场所戒治环境有待提高。</w:t>
      </w:r>
    </w:p>
    <w:p w14:paraId="111B13A1">
      <w:pPr>
        <w:overflowPunct w:val="0"/>
        <w:spacing w:line="600" w:lineRule="exact"/>
        <w:ind w:firstLine="640" w:firstLineChars="200"/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部门评价开展情况</w:t>
      </w:r>
    </w:p>
    <w:p w14:paraId="5CE438B7">
      <w:pPr>
        <w:overflowPunct w:val="0"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本单位为二级预算单位，部门评价开展情况可详见上级部门决算公开说明。</w:t>
      </w:r>
    </w:p>
    <w:p w14:paraId="2EAEA443">
      <w:pPr>
        <w:numPr>
          <w:ilvl w:val="0"/>
          <w:numId w:val="3"/>
        </w:numPr>
        <w:overflowPunct w:val="0"/>
        <w:spacing w:line="600" w:lineRule="exact"/>
        <w:ind w:left="0" w:leftChars="0" w:firstLine="640" w:firstLineChars="200"/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事前绩效评估开展情况</w:t>
      </w:r>
    </w:p>
    <w:p w14:paraId="128EEA54">
      <w:pPr>
        <w:overflowPunct w:val="0"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本单位为二级预算单位，事前绩效评估开展情况可详见上级部门决算公开说明。</w:t>
      </w:r>
    </w:p>
    <w:p w14:paraId="01E50D8A">
      <w:pPr>
        <w:overflowPunct w:val="0"/>
        <w:spacing w:line="600" w:lineRule="exact"/>
        <w:rPr>
          <w:rFonts w:ascii="Times New Roman" w:hAnsi="Times New Roman" w:eastAsia="楷体" w:cs="Times New Roman"/>
          <w:b/>
          <w:bCs/>
          <w:sz w:val="32"/>
          <w:szCs w:val="32"/>
        </w:rPr>
      </w:pPr>
    </w:p>
    <w:p w14:paraId="4AE0252F">
      <w:pPr>
        <w:overflowPunct w:val="0"/>
        <w:spacing w:line="600" w:lineRule="exact"/>
        <w:ind w:firstLine="640" w:firstLineChars="200"/>
        <w:rPr>
          <w:rFonts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（二）绩效评价结果</w:t>
      </w:r>
    </w:p>
    <w:p w14:paraId="06013BAD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绩效自评结果。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度本单位整体支出</w:t>
      </w:r>
      <w:r>
        <w:rPr>
          <w:rFonts w:ascii="Times New Roman" w:hAnsi="Times New Roman" w:eastAsia="仿宋_GB2312" w:cs="Times New Roman"/>
          <w:sz w:val="32"/>
          <w:szCs w:val="32"/>
        </w:rPr>
        <w:t>全年预算数</w:t>
      </w:r>
      <w:r>
        <w:rPr>
          <w:rFonts w:hint="eastAsia" w:ascii="仿宋_GB2312" w:hAnsi="仿宋_GB2312" w:eastAsia="仿宋_GB2312" w:cs="仿宋_GB2312"/>
          <w:sz w:val="32"/>
          <w:szCs w:val="32"/>
        </w:rPr>
        <w:t>5307.52</w:t>
      </w:r>
      <w:r>
        <w:rPr>
          <w:rFonts w:ascii="Times New Roman" w:hAnsi="Times New Roman" w:eastAsia="仿宋_GB2312" w:cs="Times New Roman"/>
          <w:sz w:val="32"/>
          <w:szCs w:val="32"/>
        </w:rPr>
        <w:t>万元，执行数</w:t>
      </w:r>
      <w:r>
        <w:rPr>
          <w:rFonts w:hint="eastAsia" w:ascii="仿宋_GB2312" w:hAnsi="仿宋_GB2312" w:eastAsia="仿宋_GB2312" w:cs="仿宋_GB2312"/>
          <w:sz w:val="32"/>
          <w:szCs w:val="32"/>
        </w:rPr>
        <w:t>4527.92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85.31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，绩效自评得分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98.53</w:t>
      </w:r>
      <w:r>
        <w:rPr>
          <w:rFonts w:ascii="Times New Roman" w:hAnsi="Times New Roman" w:eastAsia="仿宋_GB2312" w:cs="Times New Roman"/>
          <w:sz w:val="32"/>
          <w:szCs w:val="32"/>
        </w:rPr>
        <w:t>分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，评价等级为</w:t>
      </w:r>
      <w:r>
        <w:rPr>
          <w:rFonts w:ascii="Times New Roman" w:hAnsi="Times New Roman" w:eastAsia="仿宋_GB2312" w:cs="Times New Roman"/>
          <w:sz w:val="32"/>
          <w:szCs w:val="32"/>
        </w:rPr>
        <w:t>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好</w:t>
      </w:r>
      <w:r>
        <w:rPr>
          <w:rFonts w:ascii="Times New Roman" w:hAnsi="Times New Roman" w:eastAsia="仿宋_GB2312" w:cs="Times New Roman"/>
          <w:sz w:val="32"/>
          <w:szCs w:val="32"/>
        </w:rPr>
        <w:t>”。绩效目标完成情况：一是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强制隔离戒毒人员做到应收尽收</w:t>
      </w:r>
      <w:r>
        <w:rPr>
          <w:rFonts w:ascii="Times New Roman" w:hAnsi="Times New Roman" w:eastAsia="仿宋_GB2312" w:cs="Times New Roman"/>
          <w:sz w:val="32"/>
          <w:szCs w:val="32"/>
        </w:rPr>
        <w:t>；二是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保障戒毒场所全年安全稳定；三是进一步加强了禁毒教育宣传力度；四是降低了戒毒人员复吸率</w:t>
      </w:r>
      <w:r>
        <w:rPr>
          <w:rFonts w:ascii="Times New Roman" w:hAnsi="Times New Roman" w:eastAsia="仿宋_GB2312" w:cs="Times New Roman"/>
          <w:sz w:val="32"/>
          <w:szCs w:val="32"/>
        </w:rPr>
        <w:t>。发现的主要问题及原因：一是</w:t>
      </w:r>
      <w:r>
        <w:rPr>
          <w:rFonts w:hint="eastAsia" w:eastAsia="仿宋" w:cs="仿宋"/>
          <w:bCs/>
          <w:sz w:val="32"/>
          <w:szCs w:val="32"/>
        </w:rPr>
        <w:t>预算编制的计划性和执行管理上仍有待进一步提高，制度执行有待进一步强化，项目资金使用有待进一步规范</w:t>
      </w:r>
      <w:r>
        <w:rPr>
          <w:rFonts w:ascii="Times New Roman" w:hAnsi="Times New Roman" w:eastAsia="仿宋_GB2312" w:cs="Times New Roman"/>
          <w:sz w:val="32"/>
          <w:szCs w:val="32"/>
        </w:rPr>
        <w:t>；二是</w:t>
      </w:r>
      <w:r>
        <w:rPr>
          <w:rFonts w:hint="eastAsia" w:eastAsia="仿宋" w:cs="仿宋"/>
          <w:bCs/>
          <w:sz w:val="32"/>
          <w:szCs w:val="32"/>
        </w:rPr>
        <w:t>对绩效考评的结果利用的范围有限，缺乏长效机制</w:t>
      </w:r>
      <w:r>
        <w:rPr>
          <w:rFonts w:ascii="Times New Roman" w:hAnsi="Times New Roman" w:eastAsia="仿宋_GB2312" w:cs="Times New Roman"/>
          <w:sz w:val="32"/>
          <w:szCs w:val="32"/>
        </w:rPr>
        <w:t>。下一步改进措施：一是</w:t>
      </w:r>
      <w:r>
        <w:rPr>
          <w:rFonts w:hint="eastAsia" w:eastAsia="仿宋" w:cs="仿宋"/>
          <w:bCs/>
          <w:sz w:val="32"/>
          <w:szCs w:val="32"/>
        </w:rPr>
        <w:t>加强对财务人员和相关管理人员的业务培训，不断提高相关人员的业务能力和素质</w:t>
      </w:r>
      <w:r>
        <w:rPr>
          <w:rFonts w:ascii="Times New Roman" w:hAnsi="Times New Roman" w:eastAsia="仿宋_GB2312" w:cs="Times New Roman"/>
          <w:sz w:val="32"/>
          <w:szCs w:val="32"/>
        </w:rPr>
        <w:t>；二是</w:t>
      </w:r>
      <w:r>
        <w:rPr>
          <w:rFonts w:hint="eastAsia" w:eastAsia="仿宋" w:cs="仿宋"/>
          <w:bCs/>
          <w:sz w:val="32"/>
          <w:szCs w:val="32"/>
        </w:rPr>
        <w:t>进一步健全内部管理和控制制度，提高绩效管理水平。加强财务管理，严格财务审核，在费用报账支付时，按照预算规定的费用项目和用途进行资金使用的审核，严格按照费用的实际用途进行资金支付项目的列报，严格按照实际的费用支出内容进行财务核算，在预算金额内严格控制费用的支出，控制超支现象的发生</w:t>
      </w:r>
      <w:r>
        <w:rPr>
          <w:rFonts w:hint="eastAsia" w:eastAsia="仿宋" w:cs="仿宋"/>
          <w:bCs/>
          <w:sz w:val="32"/>
          <w:szCs w:val="32"/>
          <w:lang w:eastAsia="zh-CN"/>
        </w:rPr>
        <w:t>；</w:t>
      </w:r>
      <w:r>
        <w:rPr>
          <w:rFonts w:hint="eastAsia" w:eastAsia="仿宋" w:cs="仿宋"/>
          <w:bCs/>
          <w:sz w:val="32"/>
          <w:szCs w:val="32"/>
          <w:lang w:val="en-US" w:eastAsia="zh-CN"/>
        </w:rPr>
        <w:t>三是</w:t>
      </w:r>
      <w:r>
        <w:rPr>
          <w:rFonts w:hint="eastAsia" w:eastAsia="仿宋" w:cs="仿宋"/>
          <w:bCs/>
          <w:sz w:val="32"/>
          <w:szCs w:val="32"/>
        </w:rPr>
        <w:t>加强沟通协调。针对指标文下达工作，尽早计划和开展年度专项的申报，加强报批工作的沟通和跟踪，及时落实项目专项的报批进度和指标文的下达；对财政资金下达时间滞后的项目，加强与财政部门的沟通联系，尽早取得资金的拨付，保障项目资金的投入进度，发挥资金的使用效益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6EE293FD">
      <w:pPr>
        <w:overflowPunct w:val="0"/>
        <w:spacing w:line="600" w:lineRule="exact"/>
        <w:ind w:firstLine="640" w:firstLineChars="200"/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部门评价结果</w:t>
      </w:r>
    </w:p>
    <w:p w14:paraId="469BBCC4">
      <w:pPr>
        <w:overflowPunct w:val="0"/>
        <w:spacing w:line="600" w:lineRule="exact"/>
        <w:ind w:left="638" w:leftChars="304" w:firstLine="0" w:firstLineChars="0"/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本单位为二级预算单位，部门评价结果可详见上级部门决算公开说明。3.</w:t>
      </w: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:highlight w:val="none"/>
          <w:lang w:val="en-US" w:eastAsia="zh-CN"/>
        </w:rPr>
        <w:t>事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highlight w:val="none"/>
        </w:rPr>
        <w:t>前绩效评估结果</w:t>
      </w:r>
    </w:p>
    <w:p w14:paraId="1128745C">
      <w:pPr>
        <w:overflowPunct w:val="0"/>
        <w:spacing w:line="600" w:lineRule="exact"/>
        <w:ind w:left="638" w:leftChars="304" w:firstLine="0" w:firstLineChars="0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本单位为二级预算单位，事前绩效评估结果可详见上级部门决算公开说明。</w:t>
      </w:r>
    </w:p>
    <w:p w14:paraId="1345AB22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jc w:val="left"/>
        <w:textAlignment w:val="auto"/>
        <w:rPr>
          <w:rFonts w:hint="eastAsia" w:ascii="Times New Roman" w:hAnsi="Times New Roman" w:eastAsia="仿宋_GB2312"/>
          <w:color w:val="FF0000"/>
          <w:sz w:val="32"/>
          <w:szCs w:val="32"/>
        </w:rPr>
      </w:pPr>
    </w:p>
    <w:p w14:paraId="7A592452">
      <w:pPr>
        <w:numPr>
          <w:ilvl w:val="0"/>
          <w:numId w:val="4"/>
        </w:numPr>
        <w:autoSpaceDE w:val="0"/>
        <w:autoSpaceDN w:val="0"/>
        <w:adjustRightInd w:val="0"/>
        <w:ind w:firstLine="640" w:firstLineChars="200"/>
        <w:jc w:val="left"/>
        <w:rPr>
          <w:rFonts w:ascii="Times New Roman" w:hAnsi="Times New Roman" w:eastAsia="楷体_GB2312" w:cs="Times New Roman"/>
          <w:b/>
          <w:bCs/>
          <w:color w:val="auto"/>
          <w:kern w:val="2"/>
          <w:sz w:val="32"/>
          <w:szCs w:val="32"/>
          <w:highlight w:val="none"/>
        </w:rPr>
      </w:pPr>
      <w:r>
        <w:rPr>
          <w:rFonts w:ascii="Times New Roman" w:hAnsi="Times New Roman" w:eastAsia="楷体_GB2312" w:cs="Times New Roman"/>
          <w:b/>
          <w:bCs/>
          <w:color w:val="auto"/>
          <w:kern w:val="2"/>
          <w:sz w:val="32"/>
          <w:szCs w:val="32"/>
          <w:highlight w:val="none"/>
        </w:rPr>
        <w:t>评价结果应用情况</w:t>
      </w:r>
    </w:p>
    <w:p w14:paraId="27759C19">
      <w:pPr>
        <w:numPr>
          <w:ilvl w:val="0"/>
          <w:numId w:val="0"/>
        </w:numPr>
        <w:autoSpaceDE w:val="0"/>
        <w:autoSpaceDN w:val="0"/>
        <w:adjustRightInd w:val="0"/>
        <w:ind w:firstLine="640" w:firstLineChars="200"/>
        <w:jc w:val="left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请根据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2025年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度绩效自评结果、部门评价结果、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事前绩效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评价结果对本部门2025年度预算安排，支出结构调整，资金管理，制度建设等方面结果运用进行简要说明。</w:t>
      </w:r>
    </w:p>
    <w:p w14:paraId="2C864ADA">
      <w:pPr>
        <w:autoSpaceDE w:val="0"/>
        <w:autoSpaceDN w:val="0"/>
        <w:adjustRightInd w:val="0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预算绩效管理开展情况、绩效目标和绩效评价报告等，已在市政府部门财政预决算公开平台上向社会公开，详见附件。</w:t>
      </w:r>
    </w:p>
    <w:p w14:paraId="376929B5">
      <w:pPr>
        <w:pStyle w:val="7"/>
        <w:rPr>
          <w:rFonts w:hint="eastAsia"/>
          <w:lang w:val="en-US" w:eastAsia="zh-CN"/>
        </w:rPr>
      </w:pPr>
    </w:p>
    <w:p w14:paraId="66F79326">
      <w:pPr>
        <w:pStyle w:val="12"/>
        <w:jc w:val="both"/>
        <w:rPr>
          <w:rFonts w:hint="eastAsia" w:ascii="方正小标宋_GBK" w:hAnsi="方正小标宋_GBK" w:eastAsia="方正小标宋_GBK" w:cs="方正小标宋_GBK"/>
          <w:sz w:val="24"/>
          <w:szCs w:val="24"/>
        </w:rPr>
      </w:pPr>
    </w:p>
    <w:p w14:paraId="284E2500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09F5B960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5F63EF42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4758D8E2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0558C368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694E2271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36E04530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1535BCA3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6DC54329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5381024A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49DD1E58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62A970A2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3B5FF2AA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17D1B8EB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17A2E6D9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33C72012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776E4FDE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3C191A42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7F610B27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3C730ECC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第四部分</w:t>
      </w:r>
    </w:p>
    <w:p w14:paraId="1F3F4AA2">
      <w:pPr>
        <w:jc w:val="center"/>
        <w:rPr>
          <w:rFonts w:hint="eastAsia" w:ascii="方正小标宋_GBK" w:hAnsi="方正小标宋_GBK" w:eastAsia="方正小标宋_GBK" w:cs="方正小标宋_GBK"/>
          <w:color w:val="000000"/>
          <w:kern w:val="0"/>
          <w:sz w:val="70"/>
          <w:szCs w:val="70"/>
        </w:rPr>
      </w:pPr>
    </w:p>
    <w:p w14:paraId="05924E67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70"/>
          <w:szCs w:val="70"/>
        </w:rPr>
        <w:t>名词解释</w:t>
      </w:r>
    </w:p>
    <w:p w14:paraId="03C5EB50">
      <w:pPr>
        <w:pStyle w:val="7"/>
      </w:pPr>
    </w:p>
    <w:p w14:paraId="443A4077">
      <w:pPr>
        <w:pStyle w:val="3"/>
      </w:pPr>
    </w:p>
    <w:p w14:paraId="4D4D76B8"/>
    <w:p w14:paraId="74D739A7">
      <w:pPr>
        <w:pStyle w:val="7"/>
      </w:pPr>
    </w:p>
    <w:p w14:paraId="52F3019F">
      <w:pPr>
        <w:pStyle w:val="3"/>
      </w:pPr>
    </w:p>
    <w:p w14:paraId="11DB864B"/>
    <w:p w14:paraId="632A5202">
      <w:pPr>
        <w:pStyle w:val="7"/>
      </w:pPr>
    </w:p>
    <w:p w14:paraId="2BD65E30">
      <w:pPr>
        <w:pStyle w:val="3"/>
      </w:pPr>
    </w:p>
    <w:p w14:paraId="2AAA1423"/>
    <w:p w14:paraId="3EB68A02">
      <w:pPr>
        <w:pStyle w:val="7"/>
      </w:pPr>
    </w:p>
    <w:p w14:paraId="64BDC1B4">
      <w:pPr>
        <w:pStyle w:val="3"/>
      </w:pPr>
    </w:p>
    <w:p w14:paraId="52501462"/>
    <w:p w14:paraId="38A001C8">
      <w:pPr>
        <w:pStyle w:val="7"/>
      </w:pPr>
    </w:p>
    <w:p w14:paraId="686DC4DF">
      <w:pPr>
        <w:pStyle w:val="3"/>
      </w:pPr>
    </w:p>
    <w:p w14:paraId="46CFA869"/>
    <w:p w14:paraId="0594AABC">
      <w:pPr>
        <w:pStyle w:val="7"/>
      </w:pPr>
    </w:p>
    <w:p w14:paraId="66A91B15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4222AB97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35FFFA95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23BAECB2">
      <w:pPr>
        <w:pStyle w:val="7"/>
        <w:rPr>
          <w:rFonts w:hint="eastAsia"/>
        </w:rPr>
      </w:pPr>
    </w:p>
    <w:p w14:paraId="52DDE12E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4C7ED36B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一、“三公”经费：指用财政拨款安排的因公出国（境）费、公务用车购置及运行费和公务接待费。其中，因公出国（境）费反映出国（境）的住宿费、旅费、伙食补助费、杂费、培训费等支出；公务用车购置及运行费反映单位公务用车购置费及租用费、燃料费、维修费、过路过桥费、保险费、安全奖励费用等支出；公务接待费反映单位按规定开支的各类公务接待（含外宾接待）支出。</w:t>
      </w:r>
    </w:p>
    <w:p w14:paraId="0AF9F443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二、机关运行经费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，指为保障行政单位（包括参照公务员法管理的事业单位）运行用于购买货物和服务的各项资金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，包括办公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费、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印刷费、邮电费、差旅费、会议费、日常维修费、专用材料及一般设备购置费、办公用房水电费、办公用房取暖费、办公用房物业管理费、公务用车运行维护费以及其他费用。</w:t>
      </w:r>
    </w:p>
    <w:p w14:paraId="75EA17B2">
      <w:pPr>
        <w:pStyle w:val="12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E953E7C">
      <w:pPr>
        <w:pStyle w:val="3"/>
      </w:pPr>
    </w:p>
    <w:p w14:paraId="7669A3A9"/>
    <w:p w14:paraId="5DE972C2">
      <w:pPr>
        <w:pStyle w:val="7"/>
      </w:pPr>
    </w:p>
    <w:p w14:paraId="090EEFA8">
      <w:pPr>
        <w:pStyle w:val="3"/>
      </w:pPr>
    </w:p>
    <w:p w14:paraId="656104D9"/>
    <w:p w14:paraId="36184368">
      <w:pPr>
        <w:pStyle w:val="7"/>
      </w:pPr>
    </w:p>
    <w:p w14:paraId="53F5BDCE">
      <w:pPr>
        <w:pStyle w:val="3"/>
      </w:pPr>
    </w:p>
    <w:p w14:paraId="15777149"/>
    <w:p w14:paraId="6E0D1D7A">
      <w:pPr>
        <w:pStyle w:val="7"/>
      </w:pPr>
    </w:p>
    <w:p w14:paraId="62717E20">
      <w:pPr>
        <w:pStyle w:val="3"/>
      </w:pPr>
    </w:p>
    <w:p w14:paraId="7717B469"/>
    <w:p w14:paraId="061F876C">
      <w:pPr>
        <w:pStyle w:val="7"/>
      </w:pPr>
    </w:p>
    <w:p w14:paraId="141547F6">
      <w:pPr>
        <w:pStyle w:val="3"/>
      </w:pPr>
    </w:p>
    <w:p w14:paraId="7AEACB19"/>
    <w:p w14:paraId="53122F62">
      <w:pPr>
        <w:pStyle w:val="7"/>
      </w:pPr>
    </w:p>
    <w:p w14:paraId="213F4F79">
      <w:pPr>
        <w:pStyle w:val="3"/>
      </w:pPr>
    </w:p>
    <w:p w14:paraId="1727D798"/>
    <w:p w14:paraId="2F306071">
      <w:pPr>
        <w:pStyle w:val="7"/>
      </w:pPr>
    </w:p>
    <w:p w14:paraId="04F7B7DB">
      <w:pPr>
        <w:pStyle w:val="3"/>
      </w:pPr>
    </w:p>
    <w:p w14:paraId="3B9FDB83"/>
    <w:p w14:paraId="797A54E1"/>
    <w:p w14:paraId="7F1D0C70">
      <w:pPr>
        <w:pStyle w:val="7"/>
      </w:pPr>
    </w:p>
    <w:p w14:paraId="0661F6FE">
      <w:pPr>
        <w:pStyle w:val="12"/>
        <w:jc w:val="both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005362E0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第</w:t>
      </w:r>
      <w:r>
        <w:rPr>
          <w:rFonts w:hint="eastAsia" w:ascii="方正小标宋_GBK" w:hAnsi="方正小标宋_GBK" w:eastAsia="方正小标宋_GBK" w:cs="方正小标宋_GBK"/>
          <w:sz w:val="72"/>
          <w:szCs w:val="72"/>
          <w:lang w:eastAsia="zh-CN"/>
        </w:rPr>
        <w:t>五</w:t>
      </w: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部分</w:t>
      </w:r>
    </w:p>
    <w:p w14:paraId="2D13D2C3">
      <w:pPr>
        <w:pStyle w:val="12"/>
        <w:jc w:val="both"/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</w:pPr>
    </w:p>
    <w:p w14:paraId="4D01624B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  <w:t>附</w:t>
      </w:r>
      <w:r>
        <w:rPr>
          <w:rFonts w:hint="eastAsia" w:ascii="方正小标宋_GBK" w:hAnsi="方正小标宋_GBK" w:eastAsia="方正小标宋_GBK" w:cs="方正小标宋_GBK"/>
          <w:sz w:val="70"/>
          <w:szCs w:val="70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  <w:t>件</w:t>
      </w:r>
    </w:p>
    <w:p w14:paraId="5833E2D4">
      <w:pPr>
        <w:ind w:firstLine="640" w:firstLineChars="200"/>
        <w:jc w:val="left"/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</w:pPr>
    </w:p>
    <w:p w14:paraId="142F27EB">
      <w:pPr>
        <w:ind w:firstLine="640" w:firstLineChars="200"/>
        <w:jc w:val="left"/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  <w:t>1、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highlight w:val="none"/>
          <w:lang w:val="en-US" w:eastAsia="zh-CN"/>
        </w:rPr>
        <w:t>2025年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  <w:t>部门决算公开表格</w:t>
      </w:r>
    </w:p>
    <w:p w14:paraId="56349AE5">
      <w:pPr>
        <w:ind w:firstLine="640" w:firstLineChars="200"/>
        <w:jc w:val="left"/>
        <w:rPr>
          <w:rFonts w:ascii="宋体" w:hAnsi="宋体" w:eastAsia="宋体" w:cs="黑体"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  <w:t>2、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highlight w:val="none"/>
          <w:lang w:eastAsia="zh-CN"/>
        </w:rPr>
        <w:t>2025年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</w:rPr>
        <w:t>度部门整体支出绩效评价报告</w:t>
      </w:r>
    </w:p>
    <w:p w14:paraId="48EB1BBB"/>
    <w:sectPr>
      <w:pgSz w:w="11906" w:h="16838"/>
      <w:pgMar w:top="720" w:right="720" w:bottom="720" w:left="72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oto Sans SC">
    <w:altName w:val="宋体"/>
    <w:panose1 w:val="020B0200000000000000"/>
    <w:charset w:val="86"/>
    <w:family w:val="auto"/>
    <w:pitch w:val="default"/>
    <w:sig w:usb0="00000000" w:usb1="00000000" w:usb2="00000016" w:usb3="00000000" w:csb0="60060107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DECFD4"/>
    <w:multiLevelType w:val="singleLevel"/>
    <w:tmpl w:val="8EDECFD4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A5951249"/>
    <w:multiLevelType w:val="singleLevel"/>
    <w:tmpl w:val="A5951249"/>
    <w:lvl w:ilvl="0" w:tentative="0">
      <w:start w:val="3"/>
      <w:numFmt w:val="decimal"/>
      <w:suff w:val="nothing"/>
      <w:lvlText w:val="%1、"/>
      <w:lvlJc w:val="left"/>
      <w:pPr>
        <w:ind w:left="40"/>
      </w:pPr>
    </w:lvl>
  </w:abstractNum>
  <w:abstractNum w:abstractNumId="2">
    <w:nsid w:val="E3CBC331"/>
    <w:multiLevelType w:val="singleLevel"/>
    <w:tmpl w:val="E3CBC331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373518C1"/>
    <w:multiLevelType w:val="multilevel"/>
    <w:tmpl w:val="373518C1"/>
    <w:lvl w:ilvl="0" w:tentative="0">
      <w:start w:val="1"/>
      <w:numFmt w:val="none"/>
      <w:lvlText w:val="一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6F9"/>
    <w:rsid w:val="0002229B"/>
    <w:rsid w:val="000273BD"/>
    <w:rsid w:val="00040CBC"/>
    <w:rsid w:val="000415B7"/>
    <w:rsid w:val="00041E3F"/>
    <w:rsid w:val="00055DAA"/>
    <w:rsid w:val="00061F7B"/>
    <w:rsid w:val="000658A3"/>
    <w:rsid w:val="00074155"/>
    <w:rsid w:val="000A3F69"/>
    <w:rsid w:val="00103957"/>
    <w:rsid w:val="00152C6D"/>
    <w:rsid w:val="00162D39"/>
    <w:rsid w:val="001678BD"/>
    <w:rsid w:val="00182373"/>
    <w:rsid w:val="001A67DB"/>
    <w:rsid w:val="001C3C29"/>
    <w:rsid w:val="001D51E5"/>
    <w:rsid w:val="001E080D"/>
    <w:rsid w:val="001E53D0"/>
    <w:rsid w:val="001F0C3B"/>
    <w:rsid w:val="00202C82"/>
    <w:rsid w:val="00214427"/>
    <w:rsid w:val="00226CB7"/>
    <w:rsid w:val="00264552"/>
    <w:rsid w:val="00264EF9"/>
    <w:rsid w:val="00265724"/>
    <w:rsid w:val="0027426B"/>
    <w:rsid w:val="002E0A30"/>
    <w:rsid w:val="003130C4"/>
    <w:rsid w:val="00316C4B"/>
    <w:rsid w:val="0032192B"/>
    <w:rsid w:val="003479BD"/>
    <w:rsid w:val="0037197D"/>
    <w:rsid w:val="003768D5"/>
    <w:rsid w:val="003926B9"/>
    <w:rsid w:val="003C47E6"/>
    <w:rsid w:val="003C4FC2"/>
    <w:rsid w:val="00416E61"/>
    <w:rsid w:val="0042790C"/>
    <w:rsid w:val="004506F9"/>
    <w:rsid w:val="004717A2"/>
    <w:rsid w:val="00473DF3"/>
    <w:rsid w:val="00487911"/>
    <w:rsid w:val="00491741"/>
    <w:rsid w:val="004B0CEE"/>
    <w:rsid w:val="00500E5F"/>
    <w:rsid w:val="005122EF"/>
    <w:rsid w:val="0051441A"/>
    <w:rsid w:val="00517C33"/>
    <w:rsid w:val="00517D5F"/>
    <w:rsid w:val="00523644"/>
    <w:rsid w:val="0054069E"/>
    <w:rsid w:val="00544866"/>
    <w:rsid w:val="005767CC"/>
    <w:rsid w:val="00590D9F"/>
    <w:rsid w:val="00595D26"/>
    <w:rsid w:val="005A74E6"/>
    <w:rsid w:val="005B404E"/>
    <w:rsid w:val="005D4D55"/>
    <w:rsid w:val="005E2CFB"/>
    <w:rsid w:val="005F2103"/>
    <w:rsid w:val="005F3D1C"/>
    <w:rsid w:val="0062378F"/>
    <w:rsid w:val="00641842"/>
    <w:rsid w:val="00651EEC"/>
    <w:rsid w:val="00686673"/>
    <w:rsid w:val="00691E8C"/>
    <w:rsid w:val="006A22C4"/>
    <w:rsid w:val="006A351B"/>
    <w:rsid w:val="006B0422"/>
    <w:rsid w:val="006C1B53"/>
    <w:rsid w:val="006D7730"/>
    <w:rsid w:val="006E5284"/>
    <w:rsid w:val="006F3EB5"/>
    <w:rsid w:val="00702E34"/>
    <w:rsid w:val="00704395"/>
    <w:rsid w:val="00710FE7"/>
    <w:rsid w:val="00717621"/>
    <w:rsid w:val="00720FF1"/>
    <w:rsid w:val="00727A53"/>
    <w:rsid w:val="00787B42"/>
    <w:rsid w:val="007C4539"/>
    <w:rsid w:val="007F3657"/>
    <w:rsid w:val="00812ED5"/>
    <w:rsid w:val="008277D9"/>
    <w:rsid w:val="0084478C"/>
    <w:rsid w:val="0086638C"/>
    <w:rsid w:val="008A3E8D"/>
    <w:rsid w:val="009237C4"/>
    <w:rsid w:val="00944C48"/>
    <w:rsid w:val="00950252"/>
    <w:rsid w:val="00967F5D"/>
    <w:rsid w:val="009A0F95"/>
    <w:rsid w:val="009B3ADF"/>
    <w:rsid w:val="009B4D8E"/>
    <w:rsid w:val="009C3B52"/>
    <w:rsid w:val="009E6817"/>
    <w:rsid w:val="009E6E9A"/>
    <w:rsid w:val="00A01D2B"/>
    <w:rsid w:val="00A42218"/>
    <w:rsid w:val="00A70249"/>
    <w:rsid w:val="00A70B02"/>
    <w:rsid w:val="00A71D9F"/>
    <w:rsid w:val="00A92E9F"/>
    <w:rsid w:val="00AB18FF"/>
    <w:rsid w:val="00B33BEA"/>
    <w:rsid w:val="00B57C9F"/>
    <w:rsid w:val="00B63572"/>
    <w:rsid w:val="00B845B3"/>
    <w:rsid w:val="00B85D8B"/>
    <w:rsid w:val="00BB4A40"/>
    <w:rsid w:val="00BD6C3E"/>
    <w:rsid w:val="00BE3674"/>
    <w:rsid w:val="00C10681"/>
    <w:rsid w:val="00C3049A"/>
    <w:rsid w:val="00C31B1E"/>
    <w:rsid w:val="00C77645"/>
    <w:rsid w:val="00CE04C3"/>
    <w:rsid w:val="00CE76A0"/>
    <w:rsid w:val="00D148C6"/>
    <w:rsid w:val="00D17A8A"/>
    <w:rsid w:val="00D415BA"/>
    <w:rsid w:val="00D63780"/>
    <w:rsid w:val="00D644EE"/>
    <w:rsid w:val="00DD06FF"/>
    <w:rsid w:val="00DD5FE9"/>
    <w:rsid w:val="00E00C7A"/>
    <w:rsid w:val="00E37D6C"/>
    <w:rsid w:val="00E55B68"/>
    <w:rsid w:val="00E561AE"/>
    <w:rsid w:val="00E67BE6"/>
    <w:rsid w:val="00E8683C"/>
    <w:rsid w:val="00EA2B72"/>
    <w:rsid w:val="00F74360"/>
    <w:rsid w:val="00FB462F"/>
    <w:rsid w:val="00FE16FA"/>
    <w:rsid w:val="00FE328A"/>
    <w:rsid w:val="00FE6269"/>
    <w:rsid w:val="00FF5CD6"/>
    <w:rsid w:val="059958AD"/>
    <w:rsid w:val="06C857E7"/>
    <w:rsid w:val="08C24A73"/>
    <w:rsid w:val="115B6F91"/>
    <w:rsid w:val="11944E2C"/>
    <w:rsid w:val="12583BA5"/>
    <w:rsid w:val="13BA5B9C"/>
    <w:rsid w:val="152E1572"/>
    <w:rsid w:val="1D97DEFF"/>
    <w:rsid w:val="1DFF72E5"/>
    <w:rsid w:val="1EFC6F07"/>
    <w:rsid w:val="1F0527A6"/>
    <w:rsid w:val="22AC03C2"/>
    <w:rsid w:val="283B15FE"/>
    <w:rsid w:val="28DC0CA9"/>
    <w:rsid w:val="2FDF85B8"/>
    <w:rsid w:val="2FFFEE04"/>
    <w:rsid w:val="31C95635"/>
    <w:rsid w:val="34D3536D"/>
    <w:rsid w:val="34DF85B0"/>
    <w:rsid w:val="3B8F36BC"/>
    <w:rsid w:val="43EB5BA5"/>
    <w:rsid w:val="491FF225"/>
    <w:rsid w:val="4EC310A1"/>
    <w:rsid w:val="4FFD214C"/>
    <w:rsid w:val="5352765A"/>
    <w:rsid w:val="5777D4F5"/>
    <w:rsid w:val="57EBA9D6"/>
    <w:rsid w:val="57F22B6F"/>
    <w:rsid w:val="59DD8326"/>
    <w:rsid w:val="5DEF592A"/>
    <w:rsid w:val="5FC6BB1E"/>
    <w:rsid w:val="5FF720F1"/>
    <w:rsid w:val="622964C1"/>
    <w:rsid w:val="67FF5C0B"/>
    <w:rsid w:val="6BAA4A2F"/>
    <w:rsid w:val="6DDEC5C0"/>
    <w:rsid w:val="6EFC0924"/>
    <w:rsid w:val="6F9E8580"/>
    <w:rsid w:val="6FB74722"/>
    <w:rsid w:val="6FEF8B7E"/>
    <w:rsid w:val="717FE77F"/>
    <w:rsid w:val="71A6591B"/>
    <w:rsid w:val="737D59BA"/>
    <w:rsid w:val="737F32B1"/>
    <w:rsid w:val="73BD3FCA"/>
    <w:rsid w:val="776BDA01"/>
    <w:rsid w:val="77C37683"/>
    <w:rsid w:val="79FF515B"/>
    <w:rsid w:val="7B39603E"/>
    <w:rsid w:val="7DFBFF20"/>
    <w:rsid w:val="7E9E1962"/>
    <w:rsid w:val="7E9F11B4"/>
    <w:rsid w:val="7F37EC1E"/>
    <w:rsid w:val="7F7C0DDA"/>
    <w:rsid w:val="7F7DCD9D"/>
    <w:rsid w:val="7F970A6F"/>
    <w:rsid w:val="7FC1FFF3"/>
    <w:rsid w:val="7FC69637"/>
    <w:rsid w:val="7FDF8620"/>
    <w:rsid w:val="7FFB242F"/>
    <w:rsid w:val="7FFDB408"/>
    <w:rsid w:val="7FFE4EEB"/>
    <w:rsid w:val="95FB2B98"/>
    <w:rsid w:val="9A639BC2"/>
    <w:rsid w:val="9FF7D786"/>
    <w:rsid w:val="ABBFB23D"/>
    <w:rsid w:val="B6BE5A03"/>
    <w:rsid w:val="B8C93228"/>
    <w:rsid w:val="C3B4DA5A"/>
    <w:rsid w:val="C4FF458C"/>
    <w:rsid w:val="C7BBD038"/>
    <w:rsid w:val="CBFF70E0"/>
    <w:rsid w:val="CFF50B82"/>
    <w:rsid w:val="CFFFAD89"/>
    <w:rsid w:val="DFFE359E"/>
    <w:rsid w:val="DFFE4FFD"/>
    <w:rsid w:val="DFFF5403"/>
    <w:rsid w:val="EBC3E00A"/>
    <w:rsid w:val="EDFBE100"/>
    <w:rsid w:val="EEABED75"/>
    <w:rsid w:val="EF7E8003"/>
    <w:rsid w:val="F56FDF51"/>
    <w:rsid w:val="F5F3EE78"/>
    <w:rsid w:val="F6B69F17"/>
    <w:rsid w:val="F6E5BB3A"/>
    <w:rsid w:val="F77F1D61"/>
    <w:rsid w:val="F7C36722"/>
    <w:rsid w:val="F7FED3A9"/>
    <w:rsid w:val="F8C9DB26"/>
    <w:rsid w:val="F97E8EAE"/>
    <w:rsid w:val="FB36E1A6"/>
    <w:rsid w:val="FB3BE134"/>
    <w:rsid w:val="FCFF4275"/>
    <w:rsid w:val="FD7FEEEA"/>
    <w:rsid w:val="FDFFB577"/>
    <w:rsid w:val="FEEA50FE"/>
    <w:rsid w:val="FF7D47A9"/>
    <w:rsid w:val="FFCF21CB"/>
    <w:rsid w:val="FFF94102"/>
    <w:rsid w:val="FFFF1C8B"/>
    <w:rsid w:val="FFFF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unhideWhenUsed/>
    <w:qFormat/>
    <w:uiPriority w:val="99"/>
    <w:pPr>
      <w:widowControl/>
      <w:spacing w:after="120"/>
      <w:ind w:left="420" w:leftChars="200"/>
      <w:jc w:val="left"/>
    </w:pPr>
    <w:rPr>
      <w:rFonts w:ascii="宋体" w:hAnsi="宋体" w:eastAsia="宋体" w:cs="宋体"/>
      <w:kern w:val="0"/>
      <w:sz w:val="24"/>
    </w:rPr>
  </w:style>
  <w:style w:type="paragraph" w:styleId="3">
    <w:name w:val="Body Text First Indent 2"/>
    <w:basedOn w:val="2"/>
    <w:next w:val="1"/>
    <w:unhideWhenUsed/>
    <w:qFormat/>
    <w:uiPriority w:val="99"/>
    <w:pPr>
      <w:ind w:firstLine="420" w:firstLineChars="200"/>
    </w:p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footnote text"/>
    <w:basedOn w:val="1"/>
    <w:next w:val="3"/>
    <w:semiHidden/>
    <w:qFormat/>
    <w:uiPriority w:val="0"/>
    <w:pPr>
      <w:snapToGrid w:val="0"/>
      <w:jc w:val="left"/>
    </w:pPr>
    <w:rPr>
      <w:sz w:val="18"/>
      <w:szCs w:val="18"/>
    </w:rPr>
  </w:style>
  <w:style w:type="character" w:customStyle="1" w:styleId="10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kern w:val="0"/>
      <w:sz w:val="24"/>
      <w:szCs w:val="24"/>
      <w:lang w:val="en-US" w:eastAsia="zh-CN" w:bidi="ar-SA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框文本 Char"/>
    <w:basedOn w:val="9"/>
    <w:link w:val="4"/>
    <w:semiHidden/>
    <w:qFormat/>
    <w:uiPriority w:val="99"/>
    <w:rPr>
      <w:sz w:val="18"/>
      <w:szCs w:val="18"/>
    </w:rPr>
  </w:style>
  <w:style w:type="character" w:customStyle="1" w:styleId="15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2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1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18</Pages>
  <Words>3108</Words>
  <Characters>3498</Characters>
  <Lines>63</Lines>
  <Paragraphs>18</Paragraphs>
  <TotalTime>23</TotalTime>
  <ScaleCrop>false</ScaleCrop>
  <LinksUpToDate>false</LinksUpToDate>
  <CharactersWithSpaces>3520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2020-07-11T10:32:00Z</dcterms:created>
  <dc:creator>李航 null</dc:creator>
  <cp:lastModifiedBy>K</cp:lastModifiedBy>
  <cp:lastPrinted>2024-08-11T18:20:00Z</cp:lastPrinted>
  <dcterms:modified xsi:type="dcterms:W3CDTF">2026-09-29T08:43:27Z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98623D6660B449428EB8E073C6C952EA</vt:lpwstr>
  </property>
  <property fmtid="{D5CDD505-2E9C-101B-9397-08002B2CF9AE}" pid="4" name="KSOTemplateDocerSaveRecord">
    <vt:lpwstr>eyJoZGlkIjoiNDQxMGEyNWFhZjQ5MzMwY2U0OTIxZThmODgyMjJjODgiLCJ1c2VySWQiOiI2NDkzMjYwNDUifQ==</vt:lpwstr>
  </property>
</Properties>
</file>